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verKicker"/>
      </w:pPr>
      <w:r>
        <w:rPr>
          <w:rFonts w:ascii="Calibri" w:hAnsi="Calibri" w:eastAsia="Microsoft YaHei"/>
          <w:b/>
          <w:color w:val="2E74B5"/>
          <w:sz w:val="20"/>
        </w:rPr>
        <w:t>项目复盘</w:t>
      </w:r>
    </w:p>
    <w:p>
      <w:pPr>
        <w:pStyle w:val="Title"/>
      </w:pPr>
      <w:r>
        <w:t>不是更强的提示词，而是更稳的控制回路</w:t>
      </w:r>
    </w:p>
    <w:p>
      <w:pPr>
        <w:pStyle w:val="Subtitle"/>
      </w:pPr>
      <w:r>
        <w:t>一次 Agent 编程项目复盘</w:t>
      </w:r>
    </w:p>
    <w:p>
      <w:pPr>
        <w:pStyle w:val="DocumentMetadata"/>
      </w:pPr>
      <w:r>
        <w:t>作者：Key of the Door（GitHub：Key-of-door）</w:t>
      </w:r>
    </w:p>
    <w:p>
      <w:pPr>
        <w:pStyle w:val="DocumentMetadata"/>
      </w:pPr>
      <w:r>
        <w:t>版本：v0.1</w:t>
      </w:r>
    </w:p>
    <w:p>
      <w:pPr>
        <w:pStyle w:val="DocumentMetadata"/>
      </w:pPr>
      <w:r>
        <w:t>版本日期：2026-07-11</w:t>
      </w:r>
    </w:p>
    <w:p>
      <w:pPr>
        <w:pStyle w:val="DocumentMetadata"/>
      </w:pPr>
      <w:r>
        <w:t>许可：CC BY-SA 4.0</w:t>
      </w:r>
    </w:p>
    <w:p>
      <w:pPr>
        <w:pStyle w:val="DocumentMetadata"/>
      </w:pPr>
      <w:r>
        <w:t>项目仓库：</w:t>
      </w:r>
      <w:hyperlink r:id="rId11">
        <w:r>
          <w:rPr>
            <w:rFonts w:ascii="Calibri" w:hAnsi="Calibri" w:eastAsia="Microsoft YaHei"/>
            <w:color w:val="2E74B5"/>
            <w:u w:val="single"/>
          </w:rPr>
          <w:t>Key-of-door/code-risk-review-v0.1</w:t>
        </w:r>
      </w:hyperlink>
    </w:p>
    <w:p>
      <w:pPr>
        <w:pStyle w:val="DocumentMetadata"/>
      </w:pPr>
      <w:r>
        <w:t>项目 Release：</w:t>
      </w:r>
      <w:hyperlink r:id="rId22">
        <w:r>
          <w:rPr>
            <w:color w:val="0563C1"/>
            <w:u w:val="single"/>
          </w:rPr>
          <w:t>v0.1（c5054ac）</w:t>
        </w:r>
      </w:hyperlink>
    </w:p>
    <w:p>
      <w:pPr>
        <w:pStyle w:val="DocumentMetadata"/>
      </w:pPr>
      <w:r>
        <w:t>配套材料：《Agent 协作控制回路：一个面向复现的最小实践框架》</w:t>
      </w:r>
    </w:p>
    <w:p>
      <w:r>
        <w:t>我一开始只想做一个轻量的代码风险审查工具，并借这个项目补足自己的实现能力。</w:t>
      </w:r>
    </w:p>
    <w:p>
      <w:r>
        <w:t>项目叫 Code Risk Review v0.1。它只做 Python 静态分析，不运行用户代码，不保存用户源码，不承诺代码安全，不提供安全认证，也不替代人工审查、测试和交付判断。</w:t>
      </w:r>
    </w:p>
    <w:p>
      <w:r>
        <w:t>它的目标很克制：在交付前，帮助用户发现当前规则范围内可识别的风险，并说明原因、边界和下一步建议。</w:t>
      </w:r>
    </w:p>
    <w:p>
      <w:r>
        <w:t>后来让我意外的，不是工具本身，而是开发过程。</w:t>
      </w:r>
    </w:p>
    <w:p>
      <w:r>
        <w:t>这个项目推进得异常顺利。规则增加、前后端接入、错误状态、测试、mutation 和最后的发布收尾，没有像我预期的那样逐渐堆成混乱。</w:t>
      </w:r>
    </w:p>
    <w:p>
      <w:r>
        <w:t>起初我以为，只是因为 Agent 足够强，或者所有人都在用类似的方式开发。后来我才意识到，自己真正遇到的问题不是“如何让 Agent 写代码”，而是：</w:t>
      </w:r>
    </w:p>
    <w:p>
      <w:pPr>
        <w:pStyle w:val="LeadQuote"/>
        <w:shd w:fill="F4F6F9"/>
      </w:pPr>
      <w:r>
        <w:t>当 Agent 在不完整意图下拥有较高实现自由时，怎样防止它把产品悄悄改写成另一个东西？</w:t>
      </w:r>
    </w:p>
    <w:p>
      <w:r>
        <w:t>我后来把这种现象称为 Agent 语义漂移。</w:t>
      </w:r>
    </w:p>
    <w:p>
      <w:r>
        <w:t>它不一定表现为报错。</w:t>
      </w:r>
    </w:p>
    <w:p>
      <w:r>
        <w:t>Agent 可能误解边界、补全没有说清的假设，甚至在代码能够运行、测试仍然通过、文档彼此一致的情况下，把产品实现成另一个东西。</w:t>
      </w:r>
    </w:p>
    <w:p>
      <w:pPr>
        <w:pStyle w:val="Heading1"/>
      </w:pPr>
      <w:r>
        <w:t>方法不是预先设计出来的</w:t>
      </w:r>
    </w:p>
    <w:p>
      <w:r>
        <w:t>我并没有在项目开始时准备一套完整方法论。</w:t>
      </w:r>
    </w:p>
    <w:p>
      <w:r>
        <w:t>相反，它是在开发过程中，被一个个具体问题逼出来的。</w:t>
      </w:r>
    </w:p>
    <w:p>
      <w:r>
        <w:t>我经常说：“好了，继续学习吧。”</w:t>
      </w:r>
    </w:p>
    <w:p>
      <w:r>
        <w:t>表面上，我是在让 Agent 继续讲解概念、给出练习；实际上，我也会通过它的解释和我的回答，观察它是否仍然正确理解产品边界。</w:t>
      </w:r>
    </w:p>
    <w:p>
      <w:r>
        <w:t>关键判断随后会被写入 API 契约、工程护栏或 README，避免它们只存在于对话上下文中。</w:t>
      </w:r>
    </w:p>
    <w:p>
      <w:r>
        <w:t>我也会问：“感觉怎么样？”</w:t>
      </w:r>
    </w:p>
    <w:p>
      <w:r>
        <w:t>这不是为了让 Agent 表态，而是为了让它暴露当前理解：</w:t>
      </w:r>
    </w:p>
    <w:p>
      <w:pPr>
        <w:pStyle w:val="ListBullet"/>
      </w:pPr>
      <w:r>
        <w:t>它是否把阶段性约束当成了永久原则</w:t>
      </w:r>
    </w:p>
    <w:p>
      <w:pPr>
        <w:pStyle w:val="ListBullet"/>
      </w:pPr>
      <w:r>
        <w:t>是否把前后端职责混在了一起</w:t>
      </w:r>
    </w:p>
    <w:p>
      <w:pPr>
        <w:pStyle w:val="ListBullet"/>
      </w:pPr>
      <w:r>
        <w:t>是否忘记“不运行代码、不保存源码、不承诺安全”等基本边界</w:t>
      </w:r>
    </w:p>
    <w:p>
      <w:pPr>
        <w:pStyle w:val="ListBullet"/>
      </w:pPr>
      <w:r>
        <w:t>是否在没有明确授权的情况下扩大了修改范围。</w:t>
      </w:r>
    </w:p>
    <w:p>
      <w:r>
        <w:t>后来我意识到，这些看似随意的对话，实际承担了 理解检查点 的作用。</w:t>
      </w:r>
    </w:p>
    <w:p>
      <w:r>
        <w:t>工程护栏文档就发生过一次这样的偏移。</w:t>
      </w:r>
    </w:p>
    <w:p>
      <w:r>
        <w:t>它最初被理解成永久不变的工程宪法；经过讨论后才重新明确：其中既有长期原则，也有只服务于 v0.1 当前阶段的工程护栏。</w:t>
      </w:r>
    </w:p>
    <w:p>
      <w:r>
        <w:t>这让我逐渐形成一个判断：</w:t>
      </w:r>
    </w:p>
    <w:p>
      <w:r>
        <w:t>人必须保留产品定义权与解释权。</w:t>
      </w:r>
    </w:p>
    <w:p>
      <w:r>
        <w:t>Agent 可以拥有较大的实现自由，但不能默认拥有重新定义产品的权力。</w:t>
      </w:r>
    </w:p>
    <w:p>
      <w:pPr>
        <w:pStyle w:val="Heading1"/>
      </w:pPr>
      <w:r>
        <w:t>约束上层，放开实现层</w:t>
      </w:r>
    </w:p>
    <w:p>
      <w:r>
        <w:t>这套做法不是把 Agent 锁成一段只能机械执行的脚本。</w:t>
      </w:r>
    </w:p>
    <w:p>
      <w:r>
        <w:t>产品方向、用户承诺、职责边界、状态语义、隐私限制和单一事实源属于上层约束，必须由人明确决定。</w:t>
      </w:r>
    </w:p>
    <w:p>
      <w:r>
        <w:t>接口契约、测试和 release 条件，则把这些判断落成可以检查的结构。</w:t>
      </w:r>
    </w:p>
    <w:p>
      <w:r>
        <w:t>但在这些边界之内，Agent 可以自由选择具体实现路径：</w:t>
      </w:r>
    </w:p>
    <w:p>
      <w:pPr>
        <w:pStyle w:val="ListBullet"/>
      </w:pPr>
      <w:r>
        <w:t>函数怎样拆分</w:t>
      </w:r>
    </w:p>
    <w:p>
      <w:pPr>
        <w:pStyle w:val="ListBullet"/>
      </w:pPr>
      <w:r>
        <w:t>AST 如何遍历</w:t>
      </w:r>
    </w:p>
    <w:p>
      <w:pPr>
        <w:pStyle w:val="ListBullet"/>
      </w:pPr>
      <w:r>
        <w:t>测试如何组织</w:t>
      </w:r>
    </w:p>
    <w:p>
      <w:pPr>
        <w:pStyle w:val="ListBullet"/>
      </w:pPr>
      <w:r>
        <w:t>局部逻辑怎样重构</w:t>
      </w:r>
    </w:p>
    <w:p>
      <w:pPr>
        <w:pStyle w:val="ListBullet"/>
      </w:pPr>
      <w:r>
        <w:t>在既有契约内，哪种实现更清晰、更稳妥。</w:t>
      </w:r>
    </w:p>
    <w:p>
      <w:r>
        <w:t>这些细节不必由人逐行指定。</w:t>
      </w:r>
    </w:p>
    <w:p>
      <w:r>
        <w:t>换句话说：</w:t>
      </w:r>
    </w:p>
    <w:p>
      <w:pPr>
        <w:pStyle w:val="LeadQuote"/>
        <w:shd w:fill="F4F6F9"/>
      </w:pPr>
      <w:r>
        <w:t>语义自由度要小，实现自由度可以大。</w:t>
      </w:r>
    </w:p>
    <w:p>
      <w:r>
        <w:t>这有点像飞控系统。</w:t>
      </w:r>
    </w:p>
    <w:p>
      <w:r>
        <w:t>飞行员给出意图，系统持续限制不可接受的状态。飞机不必沿着唯一轨迹飞行，但不能失去控制。</w:t>
      </w:r>
    </w:p>
    <w:p>
      <w:r>
        <w:t>这里的“飞控”只是一个帮助理解的比喻，并不意味着我已经建立了严格的控制论模型。它只是让我更容易理解：约束 Agent，并不等于锁死 Agent 的能力。</w:t>
      </w:r>
    </w:p>
    <w:p>
      <w:pPr>
        <w:pStyle w:val="Heading1"/>
      </w:pPr>
      <w:r>
        <w:t>四个收尾闭环</w:t>
      </w:r>
    </w:p>
    <w:p>
      <w:r>
        <w:t>在项目收尾阶段，我们通过几个小闭环，把这套做法落成了可验证的工程证据。</w:t>
      </w:r>
    </w:p>
    <w:p>
      <w:pPr>
        <w:pStyle w:val="Heading2"/>
      </w:pPr>
      <w:r>
        <w:t>1. source_size：字段语义到底是什么</w:t>
      </w:r>
    </w:p>
    <w:p>
      <w:r>
        <w:t>source_size 原本存在“Python 字符数”和“UTF-8 字节数”之间的歧义。</w:t>
      </w:r>
    </w:p>
    <w:p>
      <w:r>
        <w:t>如果这个字段用于输入限制和资源边界，UTF-8 字节数是更一致的定义。</w:t>
      </w:r>
    </w:p>
    <w:p>
      <w:r>
        <w:t>于是，项目将 source_size 统一定义为源码按 UTF-8 编码后的字节数，并同步完成了：</w:t>
      </w:r>
    </w:p>
    <w:p>
      <w:pPr>
        <w:pStyle w:val="ListBullet"/>
      </w:pPr>
      <w:r>
        <w:t>API 契约更新</w:t>
      </w:r>
    </w:p>
    <w:p>
      <w:pPr>
        <w:pStyle w:val="ListBullet"/>
      </w:pPr>
      <w:r>
        <w:t>中英文混合输入测试</w:t>
      </w:r>
    </w:p>
    <w:p>
      <w:pPr>
        <w:pStyle w:val="ListBullet"/>
      </w:pPr>
      <w:r>
        <w:t>边界行为验证</w:t>
      </w:r>
    </w:p>
    <w:p>
      <w:pPr>
        <w:pStyle w:val="ListBullet"/>
      </w:pPr>
      <w:r>
        <w:t>将实现故意改回字符数计算的 mutation。</w:t>
      </w:r>
    </w:p>
    <w:p>
      <w:r>
        <w:t>在该提交对应的验证环境中，34 个测试通过，mutation checker 中的 9 项预设变异全部被测试杀死。</w:t>
      </w:r>
    </w:p>
    <w:p>
      <w:pPr>
        <w:pStyle w:val="InlineEvidence"/>
      </w:pPr>
      <w:r>
        <w:t>对应提交：</w:t>
      </w:r>
      <w:hyperlink r:id="rId12">
        <w:r>
          <w:rPr>
            <w:rFonts w:ascii="Calibri" w:hAnsi="Calibri" w:eastAsia="Microsoft YaHei"/>
            <w:color w:val="2E74B5"/>
            <w:u w:val="single"/>
            <w:b/>
          </w:rPr>
          <w:t>14e746e</w:t>
        </w:r>
      </w:hyperlink>
    </w:p>
    <w:p>
      <w:r>
        <w:t>这份证据证明，现有测试能够阻止“UTF-8 字节数退化为 Python 字符数”这一已明确设计的语义退化。</w:t>
      </w:r>
    </w:p>
    <w:p>
      <w:r>
        <w:t>它不证明所有与编码、输入大小或资源消耗有关的问题都已被覆盖。</w:t>
      </w:r>
    </w:p>
    <w:p>
      <w:pPr>
        <w:pStyle w:val="Heading2"/>
      </w:pPr>
      <w:r>
        <w:t>2. HTTP 请求体限制：入口边界和业务边界不能混在一起</w:t>
      </w:r>
    </w:p>
    <w:p>
      <w:r>
        <w:t>这里需要区分两类“输入过大”：</w:t>
      </w:r>
    </w:p>
    <w:p>
      <w:r>
        <w:t>一种是 HTTP 请求体在读取前就超过入口上限，应返回：</w:t>
      </w:r>
    </w:p>
    <w:p>
      <w:pPr>
        <w:pStyle w:val="InlineEvidence"/>
      </w:pPr>
      <w:r>
        <w:t>413 / REQUEST_BODY_TOO_LARGE</w:t>
      </w:r>
    </w:p>
    <w:p>
      <w:r>
        <w:t>另一种是请求已经进入业务层，但其中的源码超过分析上限，应返回：</w:t>
      </w:r>
    </w:p>
    <w:p>
      <w:r>
        <w:t>SOURCE_TOO_LARGE</w:t>
      </w:r>
    </w:p>
    <w:p>
      <w:r>
        <w:t>两者发生在不同层级，代表不同的失败语义，不能被合并成同一个错误。</w:t>
      </w:r>
    </w:p>
    <w:p>
      <w:r>
        <w:t>项目随后在读取 rfile 前，根据可解析的 Content-Length 检查请求体大小，并补充了真实 HTTP 测试和禁用入口限制的 mutation。</w:t>
      </w:r>
    </w:p>
    <w:p>
      <w:r>
        <w:t>在该提交对应的验证环境中，36 个测试通过，mutation checker 中的 10 项预设变异全部被测试杀死。</w:t>
      </w:r>
    </w:p>
    <w:p>
      <w:pPr>
        <w:pStyle w:val="InlineEvidence"/>
      </w:pPr>
      <w:r>
        <w:t>对应提交：</w:t>
      </w:r>
      <w:hyperlink r:id="rId13">
        <w:r>
          <w:rPr>
            <w:rFonts w:ascii="Calibri" w:hAnsi="Calibri" w:eastAsia="Microsoft YaHei"/>
            <w:color w:val="2E74B5"/>
            <w:u w:val="single"/>
            <w:b/>
          </w:rPr>
          <w:t>4c5c256</w:t>
        </w:r>
      </w:hyperlink>
    </w:p>
    <w:p>
      <w:r>
        <w:t>这份证据证明，在当前实现和测试覆盖的 HTTP 输入路径中，带有可解析 Content-Length 的超限请求能够在进入 JSON 解析和源码分析前被拒绝。</w:t>
      </w:r>
    </w:p>
    <w:p>
      <w:r>
        <w:t>它不自动证明所有传输编码、代理配置或部署环境都受到完全相同的保护。</w:t>
      </w:r>
    </w:p>
    <w:p>
      <w:pPr>
        <w:pStyle w:val="Heading2"/>
      </w:pPr>
      <w:r>
        <w:t>3. filename：辅助元数据不能成为第二个事实源</w:t>
      </w:r>
    </w:p>
    <w:p>
      <w:pPr/>
      <w:r>
        <w:t>上传文件时，前端只传递 File.name，后端只接受不包含路径信息的干净 basename，并拒绝：</w:t>
      </w:r>
    </w:p>
    <w:p>
      <w:pPr>
        <w:pStyle w:val="ListBullet"/>
      </w:pPr>
      <w:r>
        <w:t>路径片段</w:t>
      </w:r>
    </w:p>
    <w:p>
      <w:pPr>
        <w:pStyle w:val="ListBullet"/>
      </w:pPr>
      <w:r>
        <w:t>驱动器前缀</w:t>
      </w:r>
    </w:p>
    <w:p>
      <w:pPr>
        <w:pStyle w:val="ListBullet"/>
      </w:pPr>
      <w:r>
        <w:t>.</w:t>
      </w:r>
    </w:p>
    <w:p>
      <w:pPr>
        <w:pStyle w:val="ListBullet"/>
      </w:pPr>
      <w:r>
        <w:t>..</w:t>
      </w:r>
    </w:p>
    <w:p>
      <w:pPr>
        <w:pStyle w:val="ListBullet"/>
      </w:pPr>
      <w:r>
        <w:t>非字符串输入。</w:t>
      </w:r>
    </w:p>
    <w:p>
      <w:r>
        <w:t>filename 可以作为规则判断中的有限上下文，但不能让前端长出第二套风险判断逻辑，也不能仅凭文件名生成未经后端规则确认的风险事实。</w:t>
      </w:r>
    </w:p>
    <w:p>
      <w:pPr/>
      <w:r>
        <w:t>这个闭环最终覆盖了：</w:t>
      </w:r>
    </w:p>
    <w:p>
      <w:pPr>
        <w:pStyle w:val="ListBullet"/>
      </w:pPr>
      <w:r>
        <w:t>前端 payload</w:t>
      </w:r>
    </w:p>
    <w:p>
      <w:pPr>
        <w:pStyle w:val="ListBullet"/>
      </w:pPr>
      <w:r>
        <w:t>后端输入校验</w:t>
      </w:r>
    </w:p>
    <w:p>
      <w:pPr>
        <w:pStyle w:val="ListBullet"/>
      </w:pPr>
      <w:r>
        <w:t>HTTP 测试</w:t>
      </w:r>
    </w:p>
    <w:p>
      <w:pPr>
        <w:pStyle w:val="ListBullet"/>
      </w:pPr>
      <w:r>
        <w:t>API 契约</w:t>
      </w:r>
    </w:p>
    <w:p>
      <w:pPr>
        <w:pStyle w:val="ListBullet"/>
      </w:pPr>
      <w:r>
        <w:t>对应的 mutation。</w:t>
      </w:r>
    </w:p>
    <w:p>
      <w:r>
        <w:t>在该提交对应的验证环境中，40 个测试通过，mutation checker 中的 11 项预设变异全部被测试杀死。</w:t>
      </w:r>
    </w:p>
    <w:p>
      <w:pPr>
        <w:pStyle w:val="InlineEvidence"/>
      </w:pPr>
      <w:r>
        <w:t>对应提交：</w:t>
      </w:r>
      <w:hyperlink r:id="rId14">
        <w:r>
          <w:rPr>
            <w:rFonts w:ascii="Calibri" w:hAnsi="Calibri" w:eastAsia="Microsoft YaHei"/>
            <w:color w:val="2E74B5"/>
            <w:u w:val="single"/>
            <w:b/>
          </w:rPr>
          <w:t>1d85c2e</w:t>
        </w:r>
      </w:hyperlink>
    </w:p>
    <w:p>
      <w:r>
        <w:t>这里守住的不只是“文件名是否合法”，而是：</w:t>
      </w:r>
    </w:p>
    <w:p>
      <w:r>
        <w:t>风险事实由谁生成，谁没有资格重新定义它。</w:t>
      </w:r>
    </w:p>
    <w:p>
      <w:pPr>
        <w:pStyle w:val="Heading2"/>
      </w:pPr>
      <w:r>
        <w:t>4. report_depth：披露深度不能改变分析事实</w:t>
      </w:r>
    </w:p>
    <w:p>
      <w:r>
        <w:t>摘要和详情原本只是一个体验需求，但它很容易被实现成两套分析路径：</w:t>
      </w:r>
    </w:p>
    <w:p>
      <w:pPr>
        <w:pStyle w:val="ListBullet"/>
      </w:pPr>
      <w:r>
        <w:t>summary 少分析一部分</w:t>
      </w:r>
    </w:p>
    <w:p>
      <w:pPr>
        <w:pStyle w:val="ListBullet"/>
      </w:pPr>
      <w:r>
        <w:t>detail 多分析一部分。</w:t>
      </w:r>
    </w:p>
    <w:p>
      <w:pPr>
        <w:pStyle w:val="ListBullet"/>
      </w:pPr>
      <w:r>
        <w:t>如果这样实现，report_depth 就不再只是披露深度，而会开始改变产品事实。</w:t>
      </w:r>
    </w:p>
    <w:p>
      <w:pPr/>
      <w:r>
        <w:t>我们先确定了一组不变量：</w:t>
      </w:r>
    </w:p>
    <w:p>
      <w:pPr>
        <w:pStyle w:val="ListBullet"/>
      </w:pPr>
      <w:r>
        <w:t>规则层始终生成完整风险对象</w:t>
      </w:r>
    </w:p>
    <w:p>
      <w:pPr>
        <w:pStyle w:val="ListBullet"/>
      </w:pPr>
      <w:r>
        <w:t>report_depth 只在后端序列化阶段裁剪字段</w:t>
      </w:r>
    </w:p>
    <w:p>
      <w:pPr>
        <w:pStyle w:val="ListBullet"/>
      </w:pPr>
      <w:r>
        <w:t>风险命中、数量、等级、置信度、行动优先级和状态语义不得改变</w:t>
      </w:r>
    </w:p>
    <w:p>
      <w:pPr>
        <w:pStyle w:val="ListBullet"/>
      </w:pPr>
      <w:r>
        <w:t>前端不能补写未请求的原因、建议或验证步骤。</w:t>
      </w:r>
    </w:p>
    <w:p>
      <w:r>
        <w:t>最终，summary 和 detail 的区别只存在于信息披露深度，而不存在于分析事实本身。</w:t>
      </w:r>
    </w:p>
    <w:p>
      <w:r>
        <w:t>在该提交对应的验证环境中，44 个测试通过，mutation checker 中的 12 项预设变异全部被测试杀死。</w:t>
      </w:r>
    </w:p>
    <w:p>
      <w:pPr>
        <w:pStyle w:val="InlineEvidence"/>
      </w:pPr>
      <w:r>
        <w:t>对应提交：</w:t>
      </w:r>
      <w:hyperlink r:id="rId15">
        <w:r>
          <w:rPr>
            <w:rFonts w:ascii="Calibri" w:hAnsi="Calibri" w:eastAsia="Microsoft YaHei"/>
            <w:color w:val="2E74B5"/>
            <w:u w:val="single"/>
            <w:b/>
          </w:rPr>
          <w:t>f030294</w:t>
        </w:r>
      </w:hyperlink>
    </w:p>
    <w:p>
      <w:r>
        <w:t>这个闭环也让我更明确地理解了 单一事实源：</w:t>
      </w:r>
    </w:p>
    <w:p>
      <w:r>
        <w:t>每一类核心事实，都应有一个权威定义和生成来源。其他层级可以传递、裁剪、排序和展示，但不能重新定义它。</w:t>
      </w:r>
    </w:p>
    <w:p>
      <w:pPr>
        <w:pStyle w:val="Heading1"/>
      </w:pPr>
      <w:r>
        <w:t>让测试不只检查代码能不能跑</w:t>
      </w:r>
    </w:p>
    <w:p>
      <w:r>
        <w:t>项目中大量实现由 Agent 完成。</w:t>
      </w:r>
    </w:p>
    <w:p>
      <w:r>
        <w:t>但我没有因此把产品解释权交给 Agent。</w:t>
      </w:r>
    </w:p>
    <w:p>
      <w:pPr/>
      <w:r>
        <w:t>Agent 可以选择实现路径，却不能决定：</w:t>
      </w:r>
    </w:p>
    <w:p>
      <w:pPr>
        <w:pStyle w:val="ListBullet"/>
      </w:pPr>
      <w:r>
        <w:t>report_depth 是否改变分析事实</w:t>
      </w:r>
    </w:p>
    <w:p>
      <w:pPr>
        <w:pStyle w:val="ListBullet"/>
      </w:pPr>
      <w:r>
        <w:t>filename 是否成为风险事实源</w:t>
      </w:r>
    </w:p>
    <w:p>
      <w:pPr>
        <w:pStyle w:val="ListBullet"/>
      </w:pPr>
      <w:r>
        <w:t>partial 是否可以被悄悄改成 user_error</w:t>
      </w:r>
    </w:p>
    <w:p>
      <w:pPr>
        <w:pStyle w:val="ListBullet"/>
      </w:pPr>
      <w:r>
        <w:t>某项阶段性约束是否可以被写成永久原则</w:t>
      </w:r>
    </w:p>
    <w:p>
      <w:pPr>
        <w:pStyle w:val="ListBullet"/>
      </w:pPr>
      <w:r>
        <w:t>测试通过以后，项目可以对外承诺什么。</w:t>
      </w:r>
    </w:p>
    <w:p>
      <w:r>
        <w:t>这些边界必须由人定义，再由契约、测试和 mutation 固化。</w:t>
      </w:r>
    </w:p>
    <w:p>
      <w:r>
        <w:t>测试长期保持全绿时，我反而开始担心：</w:t>
      </w:r>
    </w:p>
    <w:p>
      <w:r>
        <w:t>它们会不会只是没有真正碰到关键退化点？</w:t>
      </w:r>
    </w:p>
    <w:p>
      <w:r>
        <w:t>于是，我们开始故意破坏产品语义，而不只是破坏普通实现。</w:t>
      </w:r>
    </w:p>
    <w:p>
      <w:r>
        <w:t>例如：</w:t>
      </w:r>
    </w:p>
    <w:p>
      <w:pPr>
        <w:pStyle w:val="ListBullet"/>
      </w:pPr>
      <w:r>
        <w:t>把 partial 改成 user_error</w:t>
      </w:r>
    </w:p>
    <w:p>
      <w:pPr>
        <w:pStyle w:val="ListBullet"/>
      </w:pPr>
      <w:r>
        <w:t>把 UTF-8 字节数改回字符数</w:t>
      </w:r>
    </w:p>
    <w:p>
      <w:pPr>
        <w:pStyle w:val="ListBullet"/>
      </w:pPr>
      <w:r>
        <w:t>移除 HTTP 请求体入口限制</w:t>
      </w:r>
    </w:p>
    <w:p>
      <w:pPr>
        <w:pStyle w:val="ListBullet"/>
      </w:pPr>
      <w:r>
        <w:t>关闭文件名校验</w:t>
      </w:r>
    </w:p>
    <w:p>
      <w:pPr>
        <w:pStyle w:val="ListBullet"/>
      </w:pPr>
      <w:r>
        <w:t>让 report_depth 失去响应裁剪行为</w:t>
      </w:r>
    </w:p>
    <w:p>
      <w:pPr>
        <w:pStyle w:val="ListBullet"/>
      </w:pPr>
      <w:r>
        <w:t>让字符串中的 eval( 被误判为真实函数调用。</w:t>
      </w:r>
    </w:p>
    <w:p>
      <w:r>
        <w:t>普通 mutation 测试通常会问：</w:t>
      </w:r>
    </w:p>
    <w:p>
      <w:pPr>
        <w:pStyle w:val="LeadQuote"/>
        <w:shd w:fill="F4F6F9"/>
      </w:pPr>
      <w:r>
        <w:t>实现被改坏以后，测试会不会失败？</w:t>
      </w:r>
    </w:p>
    <w:p>
      <w:r>
        <w:t>这里还需要再问一层：</w:t>
      </w:r>
    </w:p>
    <w:p>
      <w:pPr>
        <w:pStyle w:val="LeadQuote"/>
        <w:shd w:fill="F4F6F9"/>
      </w:pPr>
      <w:r>
        <w:t>产品承诺被悄悄改写以后，测试会不会失败？</w:t>
      </w:r>
    </w:p>
    <w:p>
      <w:r>
        <w:t>我暂时把这种做法称为语义边界变异测试（semantic-boundary mutation testing）：</w:t>
      </w:r>
    </w:p>
    <w:p>
      <w:pPr>
        <w:pStyle w:val="ListBullet"/>
      </w:pPr>
      <w:r>
        <w:t>写出一条具体产品承诺</w:t>
      </w:r>
    </w:p>
    <w:p>
      <w:pPr>
        <w:pStyle w:val="ListBullet"/>
      </w:pPr>
      <w:r>
        <w:t>找到它在代码中的实现位置</w:t>
      </w:r>
    </w:p>
    <w:p>
      <w:pPr>
        <w:pStyle w:val="ListBullet"/>
      </w:pPr>
      <w:r>
        <w:t>设计一个最小的“背叛性修改”</w:t>
      </w:r>
    </w:p>
    <w:p>
      <w:pPr>
        <w:pStyle w:val="ListBullet"/>
      </w:pPr>
      <w:r>
        <w:t>验证现有测试能否捕获它</w:t>
      </w:r>
    </w:p>
    <w:p>
      <w:pPr>
        <w:pStyle w:val="ListBullet"/>
      </w:pPr>
      <w:r>
        <w:t>记录这份证据证明什么，以及不证明什么。</w:t>
      </w:r>
    </w:p>
    <w:p>
      <w:r>
        <w:t>这不是证明测试能发现所有问题。</w:t>
      </w:r>
    </w:p>
    <w:p>
      <w:r>
        <w:t>它只证明：</w:t>
      </w:r>
    </w:p>
    <w:p>
      <w:r>
        <w:t>针对这些被明确设计出来的语义退化，测试已经不只是检查函数能否运行，而开始具备阻止产品变形的能力。</w:t>
      </w:r>
    </w:p>
    <w:p>
      <w:r>
        <w:t>最后，项目在干净克隆环境中通过了 44 个测试，12 项预设变异全部被测试杀死。</w:t>
      </w:r>
    </w:p>
    <w:p>
      <w:r>
        <w:t>release checklist、仓库卫生检查、文档一致性检查和 Git 历史，共同构成了发布前证据。</w:t>
      </w:r>
    </w:p>
    <w:p>
      <w:pPr>
        <w:pStyle w:val="InlineEvidence"/>
      </w:pPr>
      <w:r>
        <w:t>对应提交：</w:t>
      </w:r>
      <w:hyperlink r:id="rId16">
        <w:r>
          <w:rPr>
            <w:rFonts w:ascii="Calibri" w:hAnsi="Calibri" w:eastAsia="Microsoft YaHei"/>
            <w:color w:val="2E74B5"/>
            <w:u w:val="single"/>
            <w:b/>
          </w:rPr>
          <w:t>4c4fe7e</w:t>
        </w:r>
      </w:hyperlink>
    </w:p>
    <w:p>
      <w:pPr/>
      <w:r>
        <w:t>公开准备阶段，仓库又在隔离克隆中完成了历史隐私重写，并补充 Apache-2.0 许可证、SECURITY.md、Python 3.10 的 Windows/Ubuntu CI，以及 v0.1 规则数量和文档语义对齐。</w:t>
      </w:r>
    </w:p>
    <w:p>
      <w:pPr/>
      <w:r>
        <w:t xml:space="preserve">干净克隆验证对应的候选提交是 </w:t>
      </w:r>
      <w:hyperlink r:id="rId23">
        <w:r>
          <w:rPr>
            <w:color w:val="0563C1"/>
            <w:u w:val="single"/>
          </w:rPr>
          <w:t>7496b05</w:t>
        </w:r>
      </w:hyperlink>
      <w:r>
        <w:t xml:space="preserve">。此后只新增 release evidence 和发布顺序措辞校准，没有改变分析实现，也没有扩大 v0.1 的规则范围。最终 v0.1 标签与 GitHub Release 指向 </w:t>
      </w:r>
      <w:hyperlink r:id="rId24">
        <w:r>
          <w:rPr>
            <w:color w:val="0563C1"/>
            <w:u w:val="single"/>
          </w:rPr>
          <w:t>c5054ac</w:t>
        </w:r>
      </w:hyperlink>
      <w:r>
        <w:t>；该提交的 Windows 与 Ubuntu CI 均通过 44 个测试和 12 项预设变异验证。</w:t>
      </w:r>
    </w:p>
    <w:p>
      <w:pPr>
        <w:pStyle w:val="InlineEvidence"/>
      </w:pPr>
      <w:r>
        <w:t>最终发布：</w:t>
      </w:r>
      <w:hyperlink r:id="rId22">
        <w:r>
          <w:rPr>
            <w:color w:val="0563C1"/>
            <w:u w:val="single"/>
          </w:rPr>
          <w:t>v0.1</w:t>
        </w:r>
      </w:hyperlink>
      <w:r>
        <w:t xml:space="preserve">（c5054ac） · </w:t>
      </w:r>
      <w:hyperlink r:id="rId25">
        <w:r>
          <w:rPr>
            <w:color w:val="0563C1"/>
            <w:u w:val="single"/>
          </w:rPr>
          <w:t>Release Evidence</w:t>
        </w:r>
      </w:hyperlink>
    </w:p>
    <w:p>
      <w:pPr>
        <w:pStyle w:val="Heading1"/>
      </w:pPr>
      <w:r>
        <w:t>测试之外，还需要审查语义 diff</w:t>
      </w:r>
    </w:p>
    <w:p>
      <w:r>
        <w:t>测试只能阻止已经被写成断言的退化。</w:t>
      </w:r>
    </w:p>
    <w:p>
      <w:r>
        <w:t>但现实中，一次修改也可能引入尚未被契约和测试描述的新行为。</w:t>
      </w:r>
    </w:p>
    <w:p>
      <w:pPr/>
      <w:r>
        <w:t>因此，在较大的改动完成后，我还会重新检查：</w:t>
      </w:r>
    </w:p>
    <w:p>
      <w:pPr>
        <w:pStyle w:val="ListBullet"/>
      </w:pPr>
      <w:r>
        <w:t>本次 diff 是否改变了产品的对外含义</w:t>
      </w:r>
    </w:p>
    <w:p>
      <w:pPr>
        <w:pStyle w:val="ListBullet"/>
      </w:pPr>
      <w:r>
        <w:t>是否产生了新的产品承诺或默认行为</w:t>
      </w:r>
    </w:p>
    <w:p>
      <w:pPr>
        <w:pStyle w:val="ListBullet"/>
      </w:pPr>
      <w:r>
        <w:t>某类核心事实是否被移动到了另一个层级</w:t>
      </w:r>
    </w:p>
    <w:p>
      <w:pPr>
        <w:pStyle w:val="ListBullet"/>
      </w:pPr>
      <w:r>
        <w:t>是否出现了第二个事实源</w:t>
      </w:r>
    </w:p>
    <w:p>
      <w:pPr>
        <w:pStyle w:val="ListBullet"/>
      </w:pPr>
      <w:r>
        <w:t>是否把阶段护栏写成了长期原则</w:t>
      </w:r>
    </w:p>
    <w:p>
      <w:pPr>
        <w:pStyle w:val="ListBullet"/>
      </w:pPr>
      <w:r>
        <w:t>Agent 是否修改了原本未被授权修改的范围</w:t>
      </w:r>
    </w:p>
    <w:p>
      <w:pPr>
        <w:pStyle w:val="ListBullet"/>
      </w:pPr>
      <w:r>
        <w:t>当前实现是否仍然位于允许的实现自由区内。</w:t>
      </w:r>
    </w:p>
    <w:p>
      <w:r>
        <w:t>我把这种检查称为 语义 diff 审查。</w:t>
      </w:r>
    </w:p>
    <w:p>
      <w:r>
        <w:t>它不是要求人重新逐行设计代码，而是检查：</w:t>
      </w:r>
    </w:p>
    <w:p>
      <w:r>
        <w:t>代码的变化，是否改变了产品是什么、用户会观察到什么，以及谁拥有事实解释权。</w:t>
      </w:r>
    </w:p>
    <w:p>
      <w:r>
        <w:t>如果语义 diff 暴露了新的边界，下一步不应只是“这次人工记住”，而应决定是否需要补充契约、测试、mutation 或工程护栏。</w:t>
      </w:r>
    </w:p>
    <w:p>
      <w:pPr>
        <w:pStyle w:val="Heading1"/>
      </w:pPr>
      <w:r>
        <w:t>与相邻工作的关系</w:t>
      </w:r>
    </w:p>
    <w:p>
      <w:r>
        <w:t>在完成这个项目的主要工程闭环后，我开始寻找外界是否存在相似实践。</w:t>
      </w:r>
    </w:p>
    <w:p>
      <w:r>
        <w:t>我发现，这套做法并不是发生在完全空白的方向上。</w:t>
      </w:r>
    </w:p>
    <w:p>
      <w:r>
        <w:t>Spec-Driven Development、human-in-the-loop software agents、coding-agent harness engineering、Acceptance Test-Driven Development 和 mutation testing 等方向，都在处理相邻问题：</w:t>
      </w:r>
    </w:p>
    <w:p>
      <w:pPr>
        <w:pStyle w:val="ListBullet"/>
      </w:pPr>
      <w:r>
        <w:t>如何把意图外化为规格</w:t>
      </w:r>
    </w:p>
    <w:p>
      <w:pPr>
        <w:pStyle w:val="ListBullet"/>
      </w:pPr>
      <w:r>
        <w:t>如何让人在关键阶段保留控制</w:t>
      </w:r>
    </w:p>
    <w:p>
      <w:pPr>
        <w:pStyle w:val="ListBullet"/>
      </w:pPr>
      <w:r>
        <w:t>如何通过确定性检查点约束 Agent</w:t>
      </w:r>
    </w:p>
    <w:p>
      <w:pPr>
        <w:pStyle w:val="ListBullet"/>
      </w:pPr>
      <w:r>
        <w:t>如何验证测试是否真的能够发现退化。</w:t>
      </w:r>
    </w:p>
    <w:p>
      <w:r>
        <w:t>其中，Disciplined Agentic Engineering（DAE） 是目前与本项目高度相邻的公开实践之一。</w:t>
      </w:r>
    </w:p>
    <w:p>
      <w:r>
        <w:t>DAE 已经将 charter、行为规格、人工批准、检查点、ATDD 和 mutation testing 工程化为面向 Claude Code 的工作流和插件。</w:t>
      </w:r>
    </w:p>
    <w:p>
      <w:pPr/>
      <w:r>
        <w:t>它与本文存在明显汇合：</w:t>
      </w:r>
    </w:p>
    <w:p>
      <w:pPr>
        <w:pStyle w:val="ListBullet"/>
      </w:pPr>
      <w:r>
        <w:t>都不认为提示词本身足以维持长程任务中的约束</w:t>
      </w:r>
    </w:p>
    <w:p>
      <w:pPr>
        <w:pStyle w:val="ListBullet"/>
      </w:pPr>
      <w:r>
        <w:t>都强调人保留关键决策</w:t>
      </w:r>
    </w:p>
    <w:p>
      <w:pPr>
        <w:pStyle w:val="ListBullet"/>
      </w:pPr>
      <w:r>
        <w:t>都将规格、测试和 mutation 作为控制机制</w:t>
      </w:r>
    </w:p>
    <w:p>
      <w:pPr>
        <w:pStyle w:val="ListBullet"/>
      </w:pPr>
      <w:r>
        <w:t>都试图防止 Agent 在长程实现中偏离原始目标。</w:t>
      </w:r>
    </w:p>
    <w:p>
      <w:r>
        <w:t>本文不主张这些组成部分由本项目首次提出。</w:t>
      </w:r>
    </w:p>
    <w:p>
      <w:r>
        <w:t>二者的关注重心也并不完全相同。</w:t>
      </w:r>
    </w:p>
    <w:p>
      <w:r>
        <w:t>DAE 更接近一套较完整、工具化的纪律化 Agent 工程流水线；本文则更集中于一个较窄的问题：</w:t>
      </w:r>
    </w:p>
    <w:p>
      <w:r>
        <w:t>当 Agent 在不完整意图下拥有较高实现自由时，如何由人保留产品解释权，并将具体产品承诺转化为可检查的语义边界、背叛性 mutation 和具有明确证明范围的版本证据？</w:t>
      </w:r>
    </w:p>
    <w:p>
      <w:pPr/>
      <w:r>
        <w:t>本文尤其关注：</w:t>
      </w:r>
    </w:p>
    <w:p>
      <w:pPr>
        <w:pStyle w:val="ListBullet"/>
      </w:pPr>
      <w:r>
        <w:t>产品解释权</w:t>
      </w:r>
    </w:p>
    <w:p>
      <w:pPr>
        <w:pStyle w:val="ListBullet"/>
      </w:pPr>
      <w:r>
        <w:t>长期原则和阶段护栏的区分</w:t>
      </w:r>
    </w:p>
    <w:p>
      <w:pPr>
        <w:pStyle w:val="ListBullet"/>
      </w:pPr>
      <w:r>
        <w:t>单一事实源</w:t>
      </w:r>
    </w:p>
    <w:p>
      <w:pPr>
        <w:pStyle w:val="ListBullet"/>
      </w:pPr>
      <w:r>
        <w:t>理解检查点</w:t>
      </w:r>
    </w:p>
    <w:p>
      <w:pPr>
        <w:pStyle w:val="ListBullet"/>
      </w:pPr>
      <w:r>
        <w:t>语义 diff</w:t>
      </w:r>
    </w:p>
    <w:p>
      <w:pPr>
        <w:pStyle w:val="ListBullet"/>
      </w:pPr>
      <w:r>
        <w:t>面向产品承诺的语义边界 mutation</w:t>
      </w:r>
    </w:p>
    <w:p>
      <w:pPr>
        <w:pStyle w:val="ListBullet"/>
      </w:pPr>
      <w:r>
        <w:t>Git 决策证据</w:t>
      </w:r>
    </w:p>
    <w:p>
      <w:pPr>
        <w:pStyle w:val="ListBullet"/>
      </w:pPr>
      <w:r>
        <w:t>一项验证证明什么，以及不证明什么</w:t>
      </w:r>
    </w:p>
    <w:p>
      <w:pPr>
        <w:pStyle w:val="ListBullet"/>
      </w:pPr>
      <w:r>
        <w:t>失败如何回灌下一轮控制回路。</w:t>
      </w:r>
    </w:p>
    <w:p>
      <w:r>
        <w:t>这些差异目前只由一个单人、单项目案例支持，尚不能证明它们能够稳定迁移到其他项目和团队。</w:t>
      </w:r>
    </w:p>
    <w:p>
      <w:pPr>
        <w:pStyle w:val="Heading2"/>
      </w:pPr>
      <w:r>
        <w:t>相关工作链接</w:t>
      </w:r>
    </w:p>
    <w:p>
      <w:pPr>
        <w:pStyle w:val="ListBullet"/>
      </w:pPr>
      <w:hyperlink r:id="rId17">
        <w:r>
          <w:rPr>
            <w:rFonts w:ascii="Calibri" w:hAnsi="Calibri" w:eastAsia="Microsoft YaHei"/>
            <w:color w:val="2E74B5"/>
            <w:u w:val="single"/>
          </w:rPr>
          <w:t>Disciplined Agentic Engineering</w:t>
        </w:r>
      </w:hyperlink>
    </w:p>
    <w:p>
      <w:pPr>
        <w:pStyle w:val="ListBullet"/>
      </w:pPr>
      <w:hyperlink r:id="rId18">
        <w:r>
          <w:rPr>
            <w:rFonts w:ascii="Calibri" w:hAnsi="Calibri" w:eastAsia="Microsoft YaHei"/>
            <w:color w:val="2E74B5"/>
            <w:u w:val="single"/>
          </w:rPr>
          <w:t>GitHub Spec Kit</w:t>
        </w:r>
      </w:hyperlink>
    </w:p>
    <w:p>
      <w:pPr>
        <w:pStyle w:val="ListBullet"/>
      </w:pPr>
      <w:hyperlink r:id="rId19">
        <w:r>
          <w:rPr>
            <w:rFonts w:ascii="Calibri" w:hAnsi="Calibri" w:eastAsia="Microsoft YaHei"/>
            <w:color w:val="2E74B5"/>
            <w:u w:val="single"/>
          </w:rPr>
          <w:t>AI Harness Engineering</w:t>
        </w:r>
      </w:hyperlink>
    </w:p>
    <w:p>
      <w:pPr>
        <w:pStyle w:val="Heading1"/>
      </w:pPr>
      <w:r>
        <w:t>这不是答案，而是一个面向复现的实验基线</w:t>
      </w:r>
    </w:p>
    <w:p>
      <w:r>
        <w:t>我暂时把这套做法称为 Agent 协作控制回路：</w:t>
      </w:r>
    </w:p>
    <w:p>
      <w:r>
        <w:t>人定义产品 -&gt; 外化长期原则、阶段护栏与接口契约 -&gt; 理解检查点暴露 Agent 的当前理解 -&gt; Agent 在实现自由区内工作 -&gt; 人审查语义 diff -&gt; 测试与 mutation 验证已知退化 -&gt; 文档、Git 与 release evidence 保存证据 -&gt; 失败报告补强观测点 -&gt; 回到下一轮理解检查点</w:t>
      </w:r>
    </w:p>
    <w:p>
      <w:r>
        <w:t>这只是一个单人、单项目样本。</w:t>
      </w:r>
    </w:p>
    <w:p>
      <w:r>
        <w:t>它不能证明对所有模型、团队或项目都有效，也不适合所有任务。</w:t>
      </w:r>
    </w:p>
    <w:p>
      <w:r>
        <w:t>对于低风险、小规模、无需交付的一次性任务，完整流程可能过重。</w:t>
      </w:r>
    </w:p>
    <w:p>
      <w:r>
        <w:t>当使用者无法判断产品边界，也不准备参与关键决策时，文档、测试和检查点同样不能自动生成正确判断。</w:t>
      </w:r>
    </w:p>
    <w:p>
      <w:r>
        <w:t>但我认为，它碰到了一个值得继续验证的问题：</w:t>
      </w:r>
    </w:p>
    <w:p>
      <w:pPr>
        <w:pStyle w:val="LeadQuote"/>
        <w:shd w:fill="F4F6F9"/>
      </w:pPr>
      <w:r>
        <w:t>当 Agent 不只是补全代码，而会主动解释需求、补全语义、生成测试、同步文档并修改系统时，我们如何防止它把产品悄悄写成另一个东西？</w:t>
      </w:r>
    </w:p>
    <w:p>
      <w:r>
        <w:t>我把项目、文档、测试、mutation 和 Git 历史公开出来，不是为了宣布答案，也不是为了证明它是一套普适方法。</w:t>
      </w:r>
    </w:p>
    <w:p>
      <w:pPr/>
      <w:r>
        <w:t>我希望它首先成为一个可以被检查的实验起点：</w:t>
      </w:r>
    </w:p>
    <w:p>
      <w:pPr>
        <w:pStyle w:val="ListBullet"/>
      </w:pPr>
      <w:r>
        <w:t>别人可以复现</w:t>
      </w:r>
    </w:p>
    <w:p>
      <w:pPr>
        <w:pStyle w:val="ListBullet"/>
      </w:pPr>
      <w:r>
        <w:t>可以指出它在哪里失效</w:t>
      </w:r>
    </w:p>
    <w:p>
      <w:pPr>
        <w:pStyle w:val="ListBullet"/>
      </w:pPr>
      <w:r>
        <w:t>可以提交相反证据</w:t>
      </w:r>
    </w:p>
    <w:p>
      <w:pPr>
        <w:pStyle w:val="ListBullet"/>
      </w:pPr>
      <w:r>
        <w:t>可以比较不同 Agent、项目和团队中的成本与收益</w:t>
      </w:r>
    </w:p>
    <w:p>
      <w:pPr>
        <w:pStyle w:val="ListBullet"/>
      </w:pPr>
      <w:r>
        <w:t>可以记录哪些控制机制真正生效，哪些最终只成为形式主义。</w:t>
      </w:r>
    </w:p>
    <w:p>
      <w:pPr/>
      <w:r>
        <w:t>如果你在自己的项目中尝试了这套做法，欢迎同时记录：</w:t>
      </w:r>
    </w:p>
    <w:p>
      <w:pPr>
        <w:pStyle w:val="ListBullet"/>
      </w:pPr>
      <w:r>
        <w:t>它在哪里有效</w:t>
      </w:r>
    </w:p>
    <w:p>
      <w:pPr>
        <w:pStyle w:val="ListBullet"/>
      </w:pPr>
      <w:r>
        <w:t>在哪里失效</w:t>
      </w:r>
    </w:p>
    <w:p>
      <w:pPr>
        <w:pStyle w:val="ListBullet"/>
      </w:pPr>
      <w:r>
        <w:t>哪些偏移仍然没有被提前发现</w:t>
      </w:r>
    </w:p>
    <w:p>
      <w:pPr>
        <w:pStyle w:val="ListBullet"/>
      </w:pPr>
      <w:r>
        <w:t>哪些流程产生了不必要的成本</w:t>
      </w:r>
    </w:p>
    <w:p>
      <w:pPr>
        <w:pStyle w:val="ListBullet"/>
      </w:pPr>
      <w:r>
        <w:t>你是如何发现和修复这些缺口的。</w:t>
      </w:r>
    </w:p>
    <w:p>
      <w:r>
        <w:t>成功案例说明控制回路在哪里生效。</w:t>
      </w:r>
    </w:p>
    <w:p>
      <w:r>
        <w:t>失败报告则说明，它接下来应该在哪里继续生长。</w:t>
      </w:r>
    </w:p>
    <w:p>
      <w:r>
        <w:t>具体的操作模板、理解检查点、约束分类表、语义边界 mutation 设计方法、release evidence 模板和 failure report 模板，将在配套的结构化方法材料中单独发布。</w:t>
      </w:r>
    </w:p>
    <w:p>
      <w:pPr>
        <w:pStyle w:val="Heading1"/>
      </w:pPr>
      <w:r>
        <w:t>许可证说明</w:t>
      </w:r>
    </w:p>
    <w:p>
      <w:r>
        <w:t xml:space="preserve">本文正文采用 </w:t>
      </w:r>
      <w:hyperlink r:id="rId20">
        <w:r>
          <w:rPr>
            <w:rFonts w:ascii="Calibri" w:hAnsi="Calibri" w:eastAsia="Microsoft YaHei"/>
            <w:color w:val="2E74B5"/>
            <w:u w:val="single"/>
            <w:b/>
          </w:rPr>
          <w:t>CC BY-SA 4.0</w:t>
        </w:r>
      </w:hyperlink>
      <w:r>
        <w:t xml:space="preserve"> 协议发布。</w:t>
      </w:r>
    </w:p>
    <w:p>
      <w:r>
        <w:t>分享、转载、翻译或改编时，请按照许可条款提供适当署名、许可链接并注明修改；在合理可行时，也请保留原文链接和版本日期。基于本文正文的改编内容应使用相同协议共享。</w:t>
      </w:r>
    </w:p>
    <w:p>
      <w:r>
        <w:t xml:space="preserve">配套的结构化方法材料和核心术语文档是独立作品，采用 </w:t>
      </w:r>
      <w:hyperlink r:id="rId21">
        <w:r>
          <w:rPr>
            <w:rFonts w:ascii="Calibri" w:hAnsi="Calibri" w:eastAsia="Microsoft YaHei"/>
            <w:color w:val="2E74B5"/>
            <w:u w:val="single"/>
            <w:b/>
          </w:rPr>
          <w:t>CC BY-NC-SA 4.0</w:t>
        </w:r>
      </w:hyperlink>
      <w:r>
        <w:t>，以各自文件中的许可声明为准。</w:t>
      </w:r>
    </w:p>
    <w:p>
      <w:r>
        <w:t>转载、引用或改编不代表作者认可转载方、改编方或其产品。请勿将阶段性结论包装为通用定论。</w:t>
      </w:r>
    </w:p>
    <w:p>
      <w:r>
        <w:t>项目名称、Logo 和官方版本标识不包含在上述 Creative Commons 许可范围内；除非另有书面授权，不授予商标、背书或官方代表权。</w:t>
      </w:r>
    </w:p>
    <w:sectPr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Calibri" w:hAnsi="Calibri" w:eastAsia="Microsoft YaHei"/>
        <w:color w:val="5A626C"/>
        <w:sz w:val="17"/>
      </w:rPr>
      <w:t xml:space="preserve">Key of the Door  |  </w:t>
    </w:r>
    <w:r>
      <w:rPr>
        <w:rFonts w:ascii="Calibri" w:hAnsi="Calibri" w:eastAsia="Microsoft YaHei"/>
        <w:color w:val="5A626C"/>
        <w:sz w:val="17"/>
      </w:rP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Calibri" w:hAnsi="Calibri" w:eastAsia="Microsoft YaHei"/>
        <w:color w:val="5A626C"/>
        <w:sz w:val="17"/>
      </w:rPr>
      <w:t>不是更强的提示词，而是更稳的控制回路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60" w:line="320" w:lineRule="auto"/>
      <w:jc w:val="both"/>
    </w:pPr>
    <w:rPr>
      <w:rFonts w:ascii="Calibri" w:hAnsi="Calibri" w:eastAsia="Microsoft YaHei"/>
      <w:color w:val="14181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 w:eastAsia="Microsoft YaHe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 w:eastAsia="Microsoft YaHe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 w:eastAsia="Microsoft YaHe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  <w:jc w:val="center"/>
    </w:pPr>
    <w:rPr>
      <w:rFonts w:asciiTheme="majorHAnsi" w:eastAsiaTheme="majorEastAsia" w:hAnsiTheme="majorHAnsi" w:cstheme="majorBidi" w:ascii="Calibri" w:hAnsi="Calibri" w:eastAsia="Microsoft YaHei"/>
      <w:b/>
      <w:color w:val="203748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before="0" w:after="320"/>
      <w:jc w:val="center"/>
    </w:pPr>
    <w:rPr>
      <w:rFonts w:asciiTheme="majorHAnsi" w:eastAsiaTheme="majorEastAsia" w:hAnsiTheme="majorHAnsi" w:cstheme="majorBidi" w:ascii="Calibri" w:hAnsi="Calibri" w:eastAsia="Microsoft YaHei"/>
      <w:i/>
      <w:iCs/>
      <w:color w:val="5A626C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290" w:lineRule="auto"/>
      <w:ind w:left="540" w:hanging="279"/>
      <w:contextualSpacing/>
    </w:pPr>
    <w:rPr>
      <w:rFonts w:ascii="Calibri" w:hAnsi="Calibri" w:eastAsia="Microsoft YaHei"/>
      <w:color w:val="14181C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290" w:lineRule="auto"/>
      <w:ind w:left="540" w:hanging="279"/>
      <w:contextualSpacing/>
    </w:pPr>
    <w:rPr>
      <w:rFonts w:ascii="Calibri" w:hAnsi="Calibri" w:eastAsia="Microsoft YaHei"/>
      <w:color w:val="14181C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adQuote">
    <w:name w:val="Lead Quote"/>
    <w:pPr>
      <w:spacing w:before="120" w:after="200" w:line="300" w:lineRule="auto"/>
      <w:ind w:left="403" w:right="259"/>
    </w:pPr>
    <w:rPr>
      <w:rFonts w:ascii="Calibri" w:hAnsi="Calibri" w:eastAsia="Microsoft YaHei"/>
      <w:b/>
      <w:color w:val="1F4D78"/>
      <w:sz w:val="22"/>
    </w:rPr>
  </w:style>
  <w:style w:type="paragraph" w:customStyle="1" w:styleId="DocumentMetadata">
    <w:name w:val="Document Metadata"/>
    <w:pPr>
      <w:spacing w:after="60"/>
      <w:jc w:val="center"/>
    </w:pPr>
    <w:rPr>
      <w:rFonts w:ascii="Calibri" w:hAnsi="Calibri" w:eastAsia="Microsoft YaHei"/>
      <w:color w:val="5A626C"/>
      <w:sz w:val="19"/>
    </w:rPr>
  </w:style>
  <w:style w:type="paragraph" w:customStyle="1" w:styleId="CoverKicker">
    <w:name w:val="Cover Kicker"/>
    <w:pPr>
      <w:spacing w:before="400" w:after="240"/>
      <w:jc w:val="center"/>
    </w:pPr>
    <w:rPr>
      <w:rFonts w:ascii="Calibri" w:hAnsi="Calibri" w:eastAsia="Microsoft YaHei"/>
      <w:b/>
      <w:color w:val="2E74B5"/>
      <w:sz w:val="20"/>
    </w:rPr>
  </w:style>
  <w:style w:type="paragraph" w:customStyle="1" w:styleId="InlineEvidence">
    <w:name w:val="Inline Evidence"/>
    <w:pPr>
      <w:spacing w:after="120" w:line="276" w:lineRule="auto"/>
      <w:ind w:left="360"/>
    </w:pPr>
    <w:rPr>
      <w:rFonts w:ascii="Calibri" w:hAnsi="Calibri" w:eastAsia="Microsoft YaHei"/>
      <w:color w:val="1F4D78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yperlink" Target="https://github.com/Key-of-door/code-risk-review-v0.1" TargetMode="External"/><Relationship Id="rId12" Type="http://schemas.openxmlformats.org/officeDocument/2006/relationships/hyperlink" Target="https://github.com/Key-of-door/code-risk-review-v0.1/commit/14e746e89d4c63a0729627848ecce6ca6e969270" TargetMode="External"/><Relationship Id="rId13" Type="http://schemas.openxmlformats.org/officeDocument/2006/relationships/hyperlink" Target="https://github.com/Key-of-door/code-risk-review-v0.1/commit/4c5c256bb272c4bb0e8f4c40d4c28ef0ba7cc1ae" TargetMode="External"/><Relationship Id="rId14" Type="http://schemas.openxmlformats.org/officeDocument/2006/relationships/hyperlink" Target="https://github.com/Key-of-door/code-risk-review-v0.1/commit/1d85c2efd8971ea135fef56db44039ab05574c9e" TargetMode="External"/><Relationship Id="rId15" Type="http://schemas.openxmlformats.org/officeDocument/2006/relationships/hyperlink" Target="https://github.com/Key-of-door/code-risk-review-v0.1/commit/f0302946ee844d6fb845a4e0d1c5ee338df026d2" TargetMode="External"/><Relationship Id="rId16" Type="http://schemas.openxmlformats.org/officeDocument/2006/relationships/hyperlink" Target="https://github.com/Key-of-door/code-risk-review-v0.1/commit/4c4fe7edd401174df0d450a053082f523e1e9090" TargetMode="External"/><Relationship Id="rId17" Type="http://schemas.openxmlformats.org/officeDocument/2006/relationships/hyperlink" Target="https://github.com/swingerman/disciplined-agentic-engineering" TargetMode="External"/><Relationship Id="rId18" Type="http://schemas.openxmlformats.org/officeDocument/2006/relationships/hyperlink" Target="https://github.com/github/spec-kit" TargetMode="External"/><Relationship Id="rId19" Type="http://schemas.openxmlformats.org/officeDocument/2006/relationships/hyperlink" Target="https://arxiv.org/abs/2605.13357" TargetMode="External"/><Relationship Id="rId20" Type="http://schemas.openxmlformats.org/officeDocument/2006/relationships/hyperlink" Target="https://creativecommons.org/licenses/by-sa/4.0/" TargetMode="External"/><Relationship Id="rId21" Type="http://schemas.openxmlformats.org/officeDocument/2006/relationships/hyperlink" Target="https://creativecommons.org/licenses/by-nc-sa/4.0/" TargetMode="External"/><Relationship Id="rId22" Type="http://schemas.openxmlformats.org/officeDocument/2006/relationships/hyperlink" Target="https://github.com/Key-of-door/code-risk-review-v0.1/releases/tag/v0.1" TargetMode="External"/><Relationship Id="rId23" Type="http://schemas.openxmlformats.org/officeDocument/2006/relationships/hyperlink" Target="https://github.com/Key-of-door/code-risk-review-v0.1/commit/7496b05b2c881fd2ccc88133f348b3d68a0d09ec" TargetMode="External"/><Relationship Id="rId24" Type="http://schemas.openxmlformats.org/officeDocument/2006/relationships/hyperlink" Target="https://github.com/Key-of-door/code-risk-review-v0.1/commit/c5054ac9fd3d38b64987ec3b123495f28af4bfc2" TargetMode="External"/><Relationship Id="rId25" Type="http://schemas.openxmlformats.org/officeDocument/2006/relationships/hyperlink" Target="https://github.com/Key-of-door/code-risk-review-v0.1/blob/v0.1/docs/release-evidence-v0.1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不是更强的提示词，而是更稳的控制回路</dc:title>
  <dc:subject>Agent collaboration methodology</dc:subject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