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verKicker"/>
      </w:pPr>
      <w:r>
        <w:rPr>
          <w:rFonts w:ascii="Calibri" w:hAnsi="Calibri" w:eastAsia="Microsoft YaHei"/>
          <w:b/>
          <w:color w:val="2E74B5"/>
          <w:sz w:val="20"/>
        </w:rPr>
        <w:t>术语与定义</w:t>
      </w:r>
    </w:p>
    <w:p>
      <w:pPr>
        <w:pStyle w:val="Title"/>
      </w:pPr>
      <w:r>
        <w:t>Agent 协作控制回路</w:t>
      </w:r>
    </w:p>
    <w:p>
      <w:pPr>
        <w:pStyle w:val="Subtitle"/>
      </w:pPr>
      <w:r>
        <w:t>核心术语体系</w:t>
      </w:r>
    </w:p>
    <w:p>
      <w:pPr>
        <w:pStyle w:val="DocumentMetadata"/>
      </w:pPr>
      <w:r>
        <w:t>作者：Key of the Door（GitHub：Key-of-door）</w:t>
      </w:r>
    </w:p>
    <w:p>
      <w:pPr>
        <w:pStyle w:val="DocumentMetadata"/>
      </w:pPr>
      <w:r>
        <w:t>版本：v0.1</w:t>
      </w:r>
    </w:p>
    <w:p>
      <w:pPr>
        <w:pStyle w:val="DocumentMetadata"/>
      </w:pPr>
      <w:r>
        <w:t>版本日期：2026-07-11</w:t>
      </w:r>
    </w:p>
    <w:p>
      <w:pPr>
        <w:pStyle w:val="DocumentMetadata"/>
      </w:pPr>
      <w:r>
        <w:t>许可：CC BY-NC-SA 4.0</w:t>
      </w:r>
    </w:p>
    <w:p>
      <w:pPr>
        <w:pStyle w:val="DocumentMetadata"/>
      </w:pPr>
      <w:r>
        <w:t>项目仓库：</w:t>
      </w:r>
      <w:hyperlink r:id="rId12">
        <w:r>
          <w:rPr>
            <w:color w:val="0563C1"/>
            <w:u w:val="single"/>
          </w:rPr>
          <w:t>Key-of-door/code-risk-review-v0.1</w:t>
        </w:r>
      </w:hyperlink>
    </w:p>
    <w:p>
      <w:pPr>
        <w:pStyle w:val="DocumentMetadata"/>
      </w:pPr>
      <w:r>
        <w:t>项目 Release：</w:t>
      </w:r>
      <w:hyperlink r:id="rId13">
        <w:r>
          <w:rPr>
            <w:color w:val="0563C1"/>
            <w:u w:val="single"/>
          </w:rPr>
          <w:t>v0.1（c5054ac）</w:t>
        </w:r>
      </w:hyperlink>
    </w:p>
    <w:p>
      <w:pPr>
        <w:pStyle w:val="LeadQuote"/>
      </w:pPr>
      <w:r>
        <w:t>本术语表用于统一博客正文、结构化方法材料和项目案例中的表达。除非特别说明，这些术语描述的是项目治理与 Agent 协作关系，不是法律概念或已经完成数学形式化的控制论模型。</w:t>
      </w:r>
    </w:p>
    <w:p>
      <w:pPr>
        <w:pStyle w:val="Heading1"/>
      </w:pPr>
      <w:r>
        <w:t>1. Agent 语义漂移</w:t>
      </w:r>
    </w:p>
    <w:p>
      <w:r>
        <w:rPr>
          <w:rFonts w:ascii="Calibri" w:hAnsi="Calibri" w:eastAsia="Microsoft YaHei"/>
          <w:b/>
          <w:color w:val="1F4D78"/>
        </w:rPr>
        <w:t>定义：</w:t>
      </w:r>
      <w:r>
        <w:t>Agent 在实现过程中，对需求、边界、职责、字段含义或产品定义产生偏移；代码仍可能运行，测试和文档也可能保持表面一致。</w:t>
      </w:r>
    </w:p>
    <w:p>
      <w:r>
        <w:rPr>
          <w:rFonts w:ascii="Calibri" w:hAnsi="Calibri" w:eastAsia="Microsoft YaHei"/>
          <w:b/>
          <w:color w:val="1F4D78"/>
        </w:rPr>
        <w:t>边界：</w:t>
      </w:r>
      <w:r>
        <w:t>它不等同于普通语法错误或单个缺陷，也不表示所有 Agent 输出都会漂移。</w:t>
      </w:r>
    </w:p>
    <w:p>
      <w:r>
        <w:rPr>
          <w:rFonts w:ascii="Calibri" w:hAnsi="Calibri" w:eastAsia="Microsoft YaHei"/>
          <w:b/>
          <w:color w:val="1F4D78"/>
        </w:rPr>
        <w:t>作用：</w:t>
      </w:r>
      <w:r>
        <w:t>指出本框架试图更早暴露和控制的风险。</w:t>
      </w:r>
    </w:p>
    <w:p>
      <w:pPr>
        <w:pStyle w:val="Heading1"/>
      </w:pPr>
      <w:r>
        <w:t>2. 产品定义权与解释权</w:t>
      </w:r>
    </w:p>
    <w:p>
      <w:r>
        <w:rPr>
          <w:rFonts w:ascii="Calibri" w:hAnsi="Calibri" w:eastAsia="Microsoft YaHei"/>
          <w:b/>
          <w:color w:val="1F4D78"/>
        </w:rPr>
        <w:t>定义：</w:t>
      </w:r>
      <w:r>
        <w:t>决定产品是什么、不是什么，以及关键行为、状态和承诺应如何被理解的项目治理权限。</w:t>
      </w:r>
    </w:p>
    <w:p>
      <w:r>
        <w:rPr>
          <w:rFonts w:ascii="Calibri" w:hAnsi="Calibri" w:eastAsia="Microsoft YaHei"/>
          <w:b/>
          <w:color w:val="1F4D78"/>
        </w:rPr>
        <w:t>边界：</w:t>
      </w:r>
      <w:r>
        <w:t>它由人保留。Agent 可以提出方案和暴露冲突，但不能默认获得最终决策权；这里也不是合同条款中的“最终解释权”。</w:t>
      </w:r>
    </w:p>
    <w:p>
      <w:r>
        <w:rPr>
          <w:rFonts w:ascii="Calibri" w:hAnsi="Calibri" w:eastAsia="Microsoft YaHei"/>
          <w:b/>
          <w:color w:val="1F4D78"/>
        </w:rPr>
        <w:t>作用：</w:t>
      </w:r>
      <w:r>
        <w:t>明确谁对产品含义作最终决定。</w:t>
      </w:r>
    </w:p>
    <w:p>
      <w:pPr>
        <w:pStyle w:val="Heading1"/>
      </w:pPr>
      <w:r>
        <w:t>3. 语义边界</w:t>
      </w:r>
    </w:p>
    <w:p>
      <w:r>
        <w:rPr>
          <w:rFonts w:ascii="Calibri" w:hAnsi="Calibri" w:eastAsia="Microsoft YaHei"/>
          <w:b/>
          <w:color w:val="1F4D78"/>
        </w:rPr>
        <w:t>定义：</w:t>
      </w:r>
      <w:r>
        <w:t>不能由局部实现随意改写的意义边界，例如产品承诺、字段含义、错误状态、职责分层、隐私限制和能力范围。</w:t>
      </w:r>
    </w:p>
    <w:p>
      <w:r>
        <w:rPr>
          <w:rFonts w:ascii="Calibri" w:hAnsi="Calibri" w:eastAsia="Microsoft YaHei"/>
          <w:b/>
          <w:color w:val="1F4D78"/>
        </w:rPr>
        <w:t>边界：</w:t>
      </w:r>
      <w:r>
        <w:t>语义边界可以通过明确的产品级决策调整，但不能由 Agent 在实现细节中悄悄改变。</w:t>
      </w:r>
    </w:p>
    <w:p>
      <w:r>
        <w:rPr>
          <w:rFonts w:ascii="Calibri" w:hAnsi="Calibri" w:eastAsia="Microsoft YaHei"/>
          <w:b/>
          <w:color w:val="1F4D78"/>
        </w:rPr>
        <w:t>作用：</w:t>
      </w:r>
      <w:r>
        <w:t>限定哪些变化不可被当成普通实现选择。</w:t>
      </w:r>
    </w:p>
    <w:p>
      <w:pPr>
        <w:pStyle w:val="Heading1"/>
      </w:pPr>
      <w:r>
        <w:t>4. 单一事实源</w:t>
      </w:r>
    </w:p>
    <w:p>
      <w:r>
        <w:rPr>
          <w:rFonts w:ascii="Calibri" w:hAnsi="Calibri" w:eastAsia="Microsoft YaHei"/>
          <w:b/>
          <w:color w:val="1F4D78"/>
        </w:rPr>
        <w:t>定义：</w:t>
      </w:r>
      <w:r>
        <w:t>某一类核心事实只有一个权威定义和生成来源，其他层级可以传递、裁剪、排序和展示，但不能重新定义。</w:t>
      </w:r>
    </w:p>
    <w:p>
      <w:r>
        <w:rPr>
          <w:rFonts w:ascii="Calibri" w:hAnsi="Calibri" w:eastAsia="Microsoft YaHei"/>
          <w:b/>
          <w:color w:val="1F4D78"/>
        </w:rPr>
        <w:t>边界：</w:t>
      </w:r>
      <w:r>
        <w:t>它不要求只有一个文件能够接触数据，也不排斥缓存、序列化或展示运算。</w:t>
      </w:r>
    </w:p>
    <w:p>
      <w:r>
        <w:rPr>
          <w:rFonts w:ascii="Calibri" w:hAnsi="Calibri" w:eastAsia="Microsoft YaHei"/>
          <w:b/>
          <w:color w:val="1F4D78"/>
        </w:rPr>
        <w:t>作用：</w:t>
      </w:r>
      <w:r>
        <w:t>避免前端、后端或不同模块形成相互竞争的产品判断。</w:t>
      </w:r>
    </w:p>
    <w:p>
      <w:pPr>
        <w:pStyle w:val="Heading1"/>
      </w:pPr>
      <w:r>
        <w:t>5. 理解检查点</w:t>
      </w:r>
    </w:p>
    <w:p>
      <w:r>
        <w:rPr>
          <w:rFonts w:ascii="Calibri" w:hAnsi="Calibri" w:eastAsia="Microsoft YaHei"/>
          <w:b/>
          <w:color w:val="1F4D78"/>
        </w:rPr>
        <w:t>定义：</w:t>
      </w:r>
      <w:r>
        <w:t>在实现前或关键阶段，让 Agent 明确当前理解、已确认事实、待验证假设、修改范围、不应改变的边界和验证方式。</w:t>
      </w:r>
    </w:p>
    <w:p>
      <w:r>
        <w:rPr>
          <w:rFonts w:ascii="Calibri" w:hAnsi="Calibri" w:eastAsia="Microsoft YaHei"/>
          <w:b/>
          <w:color w:val="1F4D78"/>
        </w:rPr>
        <w:t>边界：</w:t>
      </w:r>
      <w:r>
        <w:t>检查点用于暴露理解，不把决策权交给 Agent，也不需要出现在每一次微小修改前。</w:t>
      </w:r>
    </w:p>
    <w:p>
      <w:r>
        <w:rPr>
          <w:rFonts w:ascii="Calibri" w:hAnsi="Calibri" w:eastAsia="Microsoft YaHei"/>
          <w:b/>
          <w:color w:val="1F4D78"/>
        </w:rPr>
        <w:t>作用：</w:t>
      </w:r>
      <w:r>
        <w:t>在代码产生之前发现歧义、越权和范围扩张。</w:t>
      </w:r>
    </w:p>
    <w:p>
      <w:pPr>
        <w:pStyle w:val="Heading1"/>
      </w:pPr>
      <w:r>
        <w:t>6. 实现自由区</w:t>
      </w:r>
    </w:p>
    <w:p>
      <w:r>
        <w:rPr>
          <w:rFonts w:ascii="Calibri" w:hAnsi="Calibri" w:eastAsia="Microsoft YaHei"/>
          <w:b/>
          <w:color w:val="1F4D78"/>
        </w:rPr>
        <w:t>定义：</w:t>
      </w:r>
      <w:r>
        <w:t>在产品语义、架构职责和接口契约已经明确后，允许 Agent 自由选择具体实现路径的空间。</w:t>
      </w:r>
    </w:p>
    <w:p>
      <w:r>
        <w:rPr>
          <w:rFonts w:ascii="Calibri" w:hAnsi="Calibri" w:eastAsia="Microsoft YaHei"/>
          <w:b/>
          <w:color w:val="1F4D78"/>
        </w:rPr>
        <w:t>边界：</w:t>
      </w:r>
      <w:r>
        <w:t>自由区不包括重新定义产品、扩大授权范围或绕过验证；其边界会随项目阶段和风险变化。</w:t>
      </w:r>
    </w:p>
    <w:p>
      <w:r>
        <w:rPr>
          <w:rFonts w:ascii="Calibri" w:hAnsi="Calibri" w:eastAsia="Microsoft YaHei"/>
          <w:b/>
          <w:color w:val="1F4D78"/>
        </w:rPr>
        <w:t>作用：</w:t>
      </w:r>
      <w:r>
        <w:t>保留 Agent 的搜索与实现能力，避免用过细命令锁死实现。</w:t>
      </w:r>
    </w:p>
    <w:p>
      <w:pPr>
        <w:pStyle w:val="Heading1"/>
      </w:pPr>
      <w:r>
        <w:t>7. 语义 diff 审查</w:t>
      </w:r>
    </w:p>
    <w:p>
      <w:r>
        <w:rPr>
          <w:rFonts w:ascii="Calibri" w:hAnsi="Calibri" w:eastAsia="Microsoft YaHei"/>
          <w:b/>
          <w:color w:val="1F4D78"/>
        </w:rPr>
        <w:t>定义：</w:t>
      </w:r>
      <w:r>
        <w:t>在代码、文档或配置发生变化后，检查本次差异是否改变产品语义、职责边界、事实来源、对外承诺或授权范围的人工审查。</w:t>
      </w:r>
    </w:p>
    <w:p>
      <w:r>
        <w:rPr>
          <w:rFonts w:ascii="Calibri" w:hAnsi="Calibri" w:eastAsia="Microsoft YaHei"/>
          <w:b/>
          <w:color w:val="1F4D78"/>
        </w:rPr>
        <w:t>边界：</w:t>
      </w:r>
      <w:r>
        <w:t>它不替代普通代码审查，也不保证发现所有语义变化；它仍依赖审查者对产品和上下文的理解。</w:t>
      </w:r>
    </w:p>
    <w:p>
      <w:r>
        <w:rPr>
          <w:rFonts w:ascii="Calibri" w:hAnsi="Calibri" w:eastAsia="Microsoft YaHei"/>
          <w:b/>
          <w:color w:val="1F4D78"/>
        </w:rPr>
        <w:t>作用：</w:t>
      </w:r>
      <w:r>
        <w:t>发现契约和测试尚未编码的新边界及未声明变化。</w:t>
      </w:r>
    </w:p>
    <w:p>
      <w:pPr>
        <w:pStyle w:val="Heading1"/>
      </w:pPr>
      <w:r>
        <w:t>8. 语义边界变异测试</w:t>
      </w:r>
    </w:p>
    <w:p>
      <w:r>
        <w:rPr>
          <w:rFonts w:ascii="Calibri" w:hAnsi="Calibri" w:eastAsia="Microsoft YaHei"/>
          <w:b/>
          <w:color w:val="1F4D78"/>
        </w:rPr>
        <w:t>定义：</w:t>
      </w:r>
      <w:r>
        <w:t>从一条具体产品承诺出发，故意设计最小的背叛性修改，再验证现有测试能否阻止该语义退化。</w:t>
      </w:r>
    </w:p>
    <w:p>
      <w:r>
        <w:rPr>
          <w:rFonts w:ascii="Calibri" w:hAnsi="Calibri" w:eastAsia="Microsoft YaHei"/>
          <w:b/>
          <w:color w:val="1F4D78"/>
        </w:rPr>
        <w:t>边界：</w:t>
      </w:r>
      <w:r>
        <w:t>所有预设变异被杀死，只证明这些已设计退化没有漏网，不证明测试覆盖所有缺陷或所有语义漂移。</w:t>
      </w:r>
    </w:p>
    <w:p>
      <w:r>
        <w:rPr>
          <w:rFonts w:ascii="Calibri" w:hAnsi="Calibri" w:eastAsia="Microsoft YaHei"/>
          <w:b/>
          <w:color w:val="1F4D78"/>
        </w:rPr>
        <w:t>作用：</w:t>
      </w:r>
      <w:r>
        <w:t>验证测试是否真正守住已经识别的产品边界。</w:t>
      </w:r>
    </w:p>
    <w:p>
      <w:pPr>
        <w:pStyle w:val="Heading1"/>
      </w:pPr>
      <w:r>
        <w:t>9. Agent 协作控制回路</w:t>
      </w:r>
    </w:p>
    <w:p>
      <w:r>
        <w:rPr>
          <w:rFonts w:ascii="Calibri" w:hAnsi="Calibri" w:eastAsia="Microsoft YaHei"/>
          <w:b/>
          <w:color w:val="1F4D78"/>
        </w:rPr>
        <w:t>定义：</w:t>
      </w:r>
      <w:r>
        <w:t>由人工决策、产品说明、接口契约、工程护栏、理解检查点、语义 diff、测试、变异测试、Git 和发布证据组成的持续校准机制。</w:t>
      </w:r>
    </w:p>
    <w:p>
      <w:r>
        <w:rPr>
          <w:rFonts w:ascii="Calibri" w:hAnsi="Calibri" w:eastAsia="Microsoft YaHei"/>
          <w:b/>
          <w:color w:val="1F4D78"/>
        </w:rPr>
        <w:t>边界：</w:t>
      </w:r>
      <w:r>
        <w:t>它不是自动生成正确判断的系统，也不是严格数学控制模型，更不能替代工程能力和真实环境验证。</w:t>
      </w:r>
    </w:p>
    <w:p>
      <w:r>
        <w:rPr>
          <w:rFonts w:ascii="Calibri" w:hAnsi="Calibri" w:eastAsia="Microsoft YaHei"/>
          <w:b/>
          <w:color w:val="1F4D78"/>
        </w:rPr>
        <w:t>作用：</w:t>
      </w:r>
      <w:r>
        <w:t>把以上机制连接成可观察、可校验、可追溯的协作过程。</w:t>
      </w:r>
    </w:p>
    <w:p>
      <w:pPr>
        <w:pStyle w:val="Heading1"/>
      </w:pPr>
      <w:r>
        <w:t>九个术语之间的关系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3000"/>
        <w:gridCol w:w="2700"/>
        <w:gridCol w:w="3660"/>
      </w:tblGrid>
      <w:tr>
        <w:trPr>
          <w:tblHeader w:val="true"/>
        </w:trPr>
        <w:tc>
          <w:tcPr>
            <w:tcW w:type="dxa" w:w="30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/>
                <w:sz w:val="19"/>
              </w:rPr>
              <w:t>术语</w:t>
            </w:r>
          </w:p>
        </w:tc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/>
                <w:sz w:val="19"/>
              </w:rPr>
              <w:t>核心问题</w:t>
            </w:r>
          </w:p>
        </w:tc>
        <w:tc>
          <w:tcPr>
            <w:tcW w:type="dxa" w:w="3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/>
                <w:sz w:val="19"/>
              </w:rPr>
              <w:t>在控制链中的作用</w:t>
            </w:r>
          </w:p>
        </w:tc>
      </w:tr>
      <w:tr>
        <w:tc>
          <w:tcPr>
            <w:tcW w:type="dxa" w:w="30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Agent 语义漂移</w:t>
            </w:r>
          </w:p>
        </w:tc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要防止什么</w:t>
            </w:r>
          </w:p>
        </w:tc>
        <w:tc>
          <w:tcPr>
            <w:tcW w:type="dxa" w:w="3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需要控制的风险</w:t>
            </w:r>
          </w:p>
        </w:tc>
      </w:tr>
      <w:tr>
        <w:tc>
          <w:tcPr>
            <w:tcW w:type="dxa" w:w="30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产品定义权与解释权</w:t>
            </w:r>
          </w:p>
        </w:tc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由谁决定</w:t>
            </w:r>
          </w:p>
        </w:tc>
        <w:tc>
          <w:tcPr>
            <w:tcW w:type="dxa" w:w="3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人保留最终产品决策</w:t>
            </w:r>
          </w:p>
        </w:tc>
      </w:tr>
      <w:tr>
        <w:tc>
          <w:tcPr>
            <w:tcW w:type="dxa" w:w="30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语义边界</w:t>
            </w:r>
          </w:p>
        </w:tc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什么不能被随意改变</w:t>
            </w:r>
          </w:p>
        </w:tc>
        <w:tc>
          <w:tcPr>
            <w:tcW w:type="dxa" w:w="3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限定不可接受的变化</w:t>
            </w:r>
          </w:p>
        </w:tc>
      </w:tr>
      <w:tr>
        <w:tc>
          <w:tcPr>
            <w:tcW w:type="dxa" w:w="30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单一事实源</w:t>
            </w:r>
          </w:p>
        </w:tc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事实由哪里产生</w:t>
            </w:r>
          </w:p>
        </w:tc>
        <w:tc>
          <w:tcPr>
            <w:tcW w:type="dxa" w:w="3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固定权威定义与生成来源</w:t>
            </w:r>
          </w:p>
        </w:tc>
      </w:tr>
      <w:tr>
        <w:tc>
          <w:tcPr>
            <w:tcW w:type="dxa" w:w="30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理解检查点</w:t>
            </w:r>
          </w:p>
        </w:tc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如何在实现前发现误解</w:t>
            </w:r>
          </w:p>
        </w:tc>
        <w:tc>
          <w:tcPr>
            <w:tcW w:type="dxa" w:w="3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暴露理解、假设和范围</w:t>
            </w:r>
          </w:p>
        </w:tc>
      </w:tr>
      <w:tr>
        <w:tc>
          <w:tcPr>
            <w:tcW w:type="dxa" w:w="30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实现自由区</w:t>
            </w:r>
          </w:p>
        </w:tc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Agent 可以自由决定什么</w:t>
            </w:r>
          </w:p>
        </w:tc>
        <w:tc>
          <w:tcPr>
            <w:tcW w:type="dxa" w:w="3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保留既有边界内的实现空间</w:t>
            </w:r>
          </w:p>
        </w:tc>
      </w:tr>
      <w:tr>
        <w:tc>
          <w:tcPr>
            <w:tcW w:type="dxa" w:w="30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语义 diff 审查</w:t>
            </w:r>
          </w:p>
        </w:tc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如何发现未声明变化</w:t>
            </w:r>
          </w:p>
        </w:tc>
        <w:tc>
          <w:tcPr>
            <w:tcW w:type="dxa" w:w="3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检查尚未编码的新边界</w:t>
            </w:r>
          </w:p>
        </w:tc>
      </w:tr>
      <w:tr>
        <w:tc>
          <w:tcPr>
            <w:tcW w:type="dxa" w:w="30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语义边界变异测试</w:t>
            </w:r>
          </w:p>
        </w:tc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如何验证已知退化</w:t>
            </w:r>
          </w:p>
        </w:tc>
        <w:tc>
          <w:tcPr>
            <w:tcW w:type="dxa" w:w="3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检验测试是否守住承诺</w:t>
            </w:r>
          </w:p>
        </w:tc>
      </w:tr>
      <w:tr>
        <w:tc>
          <w:tcPr>
            <w:tcW w:type="dxa" w:w="30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Agent 协作控制回路</w:t>
            </w:r>
          </w:p>
        </w:tc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如何持续校准</w:t>
            </w:r>
          </w:p>
        </w:tc>
        <w:tc>
          <w:tcPr>
            <w:tcW w:type="dxa" w:w="3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连接全部机制并保存证据</w:t>
            </w:r>
          </w:p>
        </w:tc>
      </w:tr>
    </w:tbl>
    <w:p>
      <w:pPr>
        <w:spacing w:after="40"/>
      </w:pPr>
    </w:p>
    <w:p>
      <w:pPr>
        <w:pStyle w:val="Heading1"/>
      </w:pPr>
      <w:r>
        <w:t>关于“Agent 语义飞控”</w:t>
      </w:r>
    </w:p>
    <w:p>
      <w:r>
        <w:t>“Agent 语义飞控”只作为帮助理解和传播的比喻，不作为与正式框架并列的独立术语。</w:t>
      </w:r>
    </w:p>
    <w:p>
      <w:pPr>
        <w:pStyle w:val="LeadQuote"/>
        <w:shd w:fill="F4F6F9"/>
      </w:pPr>
      <w:r>
        <w:t>人给出产品意图，Agent 在实现自由区内选择路径，契约、审查、测试和证据持续观测偏移，并在接近语义边界时触发重新校准。</w:t>
      </w:r>
    </w:p>
    <w:p>
      <w:r>
        <w:t>这个比喻强调目标、授权、观测、偏移和重新校准之间的关系，但不表示本框架已经建立严格的数学控制模型。正式引用统一使用“Agent 协作控制回路”。</w:t>
      </w:r>
    </w:p>
    <w:p>
      <w:pPr>
        <w:pStyle w:val="Heading1"/>
      </w:pPr>
      <w:r>
        <w:t>许可与引用</w:t>
      </w:r>
    </w:p>
    <w:p>
      <w:r>
        <w:t xml:space="preserve">本文档采用 </w:t>
      </w:r>
      <w:hyperlink r:id="rId11">
        <w:r>
          <w:rPr>
            <w:rFonts w:ascii="Calibri" w:hAnsi="Calibri" w:eastAsia="Microsoft YaHei"/>
            <w:color w:val="2E74B5"/>
            <w:u w:val="single"/>
            <w:b/>
          </w:rPr>
          <w:t>CC BY-NC-SA 4.0</w:t>
        </w:r>
      </w:hyperlink>
      <w:r>
        <w:t xml:space="preserve"> 协议发布。</w:t>
      </w:r>
    </w:p>
    <w:p>
      <w:r>
        <w:t>允许非商业学习、研究、复现、分享和改编；使用时应按协议提供适当署名、许可链接并注明修改，改编内容应以相同协议共享。商业使用需要另行取得授权。</w:t>
      </w:r>
    </w:p>
    <w:sectPr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Calibri" w:hAnsi="Calibri" w:eastAsia="Microsoft YaHei"/>
        <w:color w:val="5A626C"/>
        <w:sz w:val="17"/>
      </w:rPr>
      <w:t xml:space="preserve">Key of the Door  |  </w:t>
    </w:r>
    <w:r>
      <w:rPr>
        <w:rFonts w:ascii="Calibri" w:hAnsi="Calibri" w:eastAsia="Microsoft YaHei"/>
        <w:color w:val="5A626C"/>
        <w:sz w:val="17"/>
      </w:rP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Calibri" w:hAnsi="Calibri" w:eastAsia="Microsoft YaHei"/>
        <w:color w:val="5A626C"/>
        <w:sz w:val="17"/>
      </w:rPr>
      <w:t>Agent 协作控制回路：核心术语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120" w:line="300" w:lineRule="auto"/>
      <w:jc w:val="left"/>
    </w:pPr>
    <w:rPr>
      <w:rFonts w:ascii="Calibri" w:hAnsi="Calibri" w:eastAsia="Microsoft YaHei"/>
      <w:color w:val="14181C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Calibri" w:hAnsi="Calibri" w:eastAsia="Microsoft YaHe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Calibri" w:hAnsi="Calibri" w:eastAsia="Microsoft YaHe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Calibri" w:hAnsi="Calibri" w:eastAsia="Microsoft YaHe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40" w:lineRule="auto" w:before="0"/>
      <w:contextualSpacing/>
      <w:jc w:val="center"/>
    </w:pPr>
    <w:rPr>
      <w:rFonts w:asciiTheme="majorHAnsi" w:eastAsiaTheme="majorEastAsia" w:hAnsiTheme="majorHAnsi" w:cstheme="majorBidi" w:ascii="Calibri" w:hAnsi="Calibri" w:eastAsia="Microsoft YaHei"/>
      <w:b/>
      <w:color w:val="203748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before="0" w:after="320"/>
      <w:jc w:val="center"/>
    </w:pPr>
    <w:rPr>
      <w:rFonts w:asciiTheme="majorHAnsi" w:eastAsiaTheme="majorEastAsia" w:hAnsiTheme="majorHAnsi" w:cstheme="majorBidi" w:ascii="Calibri" w:hAnsi="Calibri" w:eastAsia="Microsoft YaHei"/>
      <w:i/>
      <w:iCs/>
      <w:color w:val="5A626C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 w:line="300" w:lineRule="auto"/>
      <w:ind w:left="540" w:hanging="271"/>
      <w:contextualSpacing/>
    </w:pPr>
    <w:rPr>
      <w:rFonts w:ascii="Calibri" w:hAnsi="Calibri" w:eastAsia="Microsoft YaHei"/>
      <w:color w:val="14181C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 w:line="300" w:lineRule="auto"/>
      <w:ind w:left="540" w:hanging="271"/>
      <w:contextualSpacing/>
    </w:pPr>
    <w:rPr>
      <w:rFonts w:ascii="Calibri" w:hAnsi="Calibri" w:eastAsia="Microsoft YaHei"/>
      <w:color w:val="14181C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adQuote">
    <w:name w:val="Lead Quote"/>
    <w:pPr>
      <w:spacing w:before="120" w:after="200" w:line="300" w:lineRule="auto"/>
      <w:ind w:left="403" w:right="259"/>
    </w:pPr>
    <w:rPr>
      <w:rFonts w:ascii="Calibri" w:hAnsi="Calibri" w:eastAsia="Microsoft YaHei"/>
      <w:b/>
      <w:color w:val="1F4D78"/>
      <w:sz w:val="22"/>
    </w:rPr>
  </w:style>
  <w:style w:type="paragraph" w:customStyle="1" w:styleId="DocumentMetadata">
    <w:name w:val="Document Metadata"/>
    <w:pPr>
      <w:spacing w:after="60"/>
      <w:jc w:val="center"/>
    </w:pPr>
    <w:rPr>
      <w:rFonts w:ascii="Calibri" w:hAnsi="Calibri" w:eastAsia="Microsoft YaHei"/>
      <w:color w:val="5A626C"/>
      <w:sz w:val="19"/>
    </w:rPr>
  </w:style>
  <w:style w:type="paragraph" w:customStyle="1" w:styleId="CoverKicker">
    <w:name w:val="Cover Kicker"/>
    <w:pPr>
      <w:spacing w:before="400" w:after="240"/>
      <w:jc w:val="center"/>
    </w:pPr>
    <w:rPr>
      <w:rFonts w:ascii="Calibri" w:hAnsi="Calibri" w:eastAsia="Microsoft YaHei"/>
      <w:b/>
      <w:color w:val="2E74B5"/>
      <w:sz w:val="20"/>
    </w:rPr>
  </w:style>
  <w:style w:type="paragraph" w:customStyle="1" w:styleId="InlineEvidence">
    <w:name w:val="Inline Evidence"/>
    <w:pPr>
      <w:spacing w:after="120" w:line="276" w:lineRule="auto"/>
      <w:ind w:left="360"/>
    </w:pPr>
    <w:rPr>
      <w:rFonts w:ascii="Calibri" w:hAnsi="Calibri" w:eastAsia="Microsoft YaHei"/>
      <w:color w:val="1F4D78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yperlink" Target="https://creativecommons.org/licenses/by-nc-sa/4.0/" TargetMode="External"/><Relationship Id="rId12" Type="http://schemas.openxmlformats.org/officeDocument/2006/relationships/hyperlink" Target="https://github.com/Key-of-door/code-risk-review-v0.1" TargetMode="External"/><Relationship Id="rId13" Type="http://schemas.openxmlformats.org/officeDocument/2006/relationships/hyperlink" Target="https://github.com/Key-of-door/code-risk-review-v0.1/releases/tag/v0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 协作控制回路：核心术语</dc:title>
  <dc:subject>Agent collaboration methodology</dc:subject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