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verKicker"/>
      </w:pPr>
      <w:r>
        <w:rPr>
          <w:rFonts w:ascii="Calibri" w:hAnsi="Calibri" w:eastAsia="Microsoft YaHei"/>
          <w:b/>
          <w:color w:val="2E74B5"/>
          <w:sz w:val="20"/>
        </w:rPr>
        <w:t>结构化方法材料</w:t>
      </w:r>
    </w:p>
    <w:p>
      <w:pPr>
        <w:pStyle w:val="Title"/>
      </w:pPr>
      <w:r>
        <w:t>Agent 协作控制回路</w:t>
      </w:r>
    </w:p>
    <w:p>
      <w:pPr>
        <w:pStyle w:val="Subtitle"/>
      </w:pPr>
      <w:r>
        <w:t>一个面向复现的最小实践框架</w:t>
      </w:r>
    </w:p>
    <w:p>
      <w:pPr>
        <w:pStyle w:val="DocumentMetadata"/>
      </w:pPr>
      <w:r>
        <w:t>作者：Key of the Door（GitHub：Key-of-door）</w:t>
      </w:r>
    </w:p>
    <w:p>
      <w:pPr>
        <w:pStyle w:val="DocumentMetadata"/>
      </w:pPr>
      <w:r>
        <w:t>版本：v0.1</w:t>
      </w:r>
    </w:p>
    <w:p>
      <w:pPr>
        <w:pStyle w:val="DocumentMetadata"/>
      </w:pPr>
      <w:r>
        <w:t>版本日期：2026-07-11</w:t>
      </w:r>
    </w:p>
    <w:p>
      <w:pPr>
        <w:pStyle w:val="DocumentMetadata"/>
      </w:pPr>
      <w:r>
        <w:t>许可：CC BY-NC-SA 4.0</w:t>
      </w:r>
    </w:p>
    <w:p>
      <w:pPr>
        <w:pStyle w:val="DocumentMetadata"/>
      </w:pPr>
      <w:r>
        <w:t>项目仓库：</w:t>
      </w:r>
      <w:hyperlink r:id="rId11">
        <w:r>
          <w:rPr>
            <w:rFonts w:ascii="Calibri" w:hAnsi="Calibri" w:eastAsia="Microsoft YaHei"/>
            <w:color w:val="2E74B5"/>
            <w:u w:val="single"/>
          </w:rPr>
          <w:t>Key-of-door/code-risk-review-v0.1</w:t>
        </w:r>
      </w:hyperlink>
    </w:p>
    <w:p>
      <w:pPr>
        <w:pStyle w:val="DocumentMetadata"/>
      </w:pPr>
      <w:r>
        <w:t>项目 Release：</w:t>
      </w:r>
      <w:hyperlink r:id="rId18">
        <w:r>
          <w:rPr>
            <w:color w:val="0563C1"/>
            <w:u w:val="single"/>
          </w:rPr>
          <w:t>v0.1（c5054ac）</w:t>
        </w:r>
      </w:hyperlink>
    </w:p>
    <w:p>
      <w:pPr>
        <w:pStyle w:val="LeadQuote"/>
      </w:pPr>
      <w:r>
        <w:t>目的：降低 Agent 在实现过程中悄悄改写产品语义的概率，并让关键判断可见、可校验、可追溯。</w:t>
      </w:r>
    </w:p>
    <w:p>
      <w:r>
        <w:t>这套框架来自单人、单项目实践。它展示了如何把部分产品语义外化为可检查、可追溯的工程证据，但尚未证明其在不同项目、团队和工程环境中都能稳定降低 Agent 语义漂移。</w:t>
      </w:r>
    </w:p>
    <w:p>
      <w:r>
        <w:t>v0.1 的作用，是提供一个可以被讨论、复现、修改和反驳的实验起点。</w:t>
      </w:r>
    </w:p>
    <w:p>
      <w:pPr>
        <w:pStyle w:val="Heading1"/>
      </w:pPr>
      <w:r>
        <w:t>1. 适用范围</w:t>
      </w:r>
    </w:p>
    <w:p>
      <w:pPr>
        <w:pStyle w:val="Heading2"/>
      </w:pPr>
      <w:r>
        <w:t>适合：</w:t>
      </w:r>
    </w:p>
    <w:p>
      <w:pPr>
        <w:pStyle w:val="ListBullet"/>
      </w:pPr>
      <w:r>
        <w:t>开发周期较长，涉及多个模块或多次迭代的 Agent 编程项目。</w:t>
      </w:r>
    </w:p>
    <w:p>
      <w:pPr>
        <w:pStyle w:val="ListBullet"/>
      </w:pPr>
      <w:r>
        <w:t>有明确产品承诺、隐私边界、错误状态或交付责任的项目。</w:t>
      </w:r>
    </w:p>
    <w:p>
      <w:pPr>
        <w:pStyle w:val="ListBullet"/>
      </w:pPr>
      <w:r>
        <w:t>希望代码、测试、文档与 Git 历史共同构成证据的项目。</w:t>
      </w:r>
    </w:p>
    <w:p>
      <w:pPr>
        <w:pStyle w:val="ListBullet"/>
      </w:pPr>
      <w:r>
        <w:t>使用者愿意参与产品定义、边界判断和关键验收的项目。</w:t>
      </w:r>
    </w:p>
    <w:p>
      <w:pPr>
        <w:pStyle w:val="Heading2"/>
      </w:pPr>
      <w:r>
        <w:t>不适合：</w:t>
      </w:r>
    </w:p>
    <w:p>
      <w:pPr>
        <w:pStyle w:val="ListBullet"/>
      </w:pPr>
      <w:r>
        <w:t>一次性脚本、低风险实验或无需交付的小任务。</w:t>
      </w:r>
    </w:p>
    <w:p>
      <w:pPr>
        <w:pStyle w:val="ListBullet"/>
      </w:pPr>
      <w:r>
        <w:t>使用者完全无法判断产品边界，也不准备参与关键决策的场景。</w:t>
      </w:r>
    </w:p>
    <w:p>
      <w:pPr>
        <w:pStyle w:val="ListBullet"/>
      </w:pPr>
      <w:r>
        <w:t>只想让 Agent 无监督地从模糊目标一路生成完整系统的场景。</w:t>
      </w:r>
    </w:p>
    <w:p>
      <w:pPr>
        <w:pStyle w:val="ListBullet"/>
      </w:pPr>
      <w:r>
        <w:t>希望仅依靠提示词、测试通过或 Agent 自我检查证明产品正确的场景。</w:t>
      </w:r>
    </w:p>
    <w:p>
      <w:r>
        <w:t>这不是让 Agent 自动产生正确判断的机制。它只是把人的部分判断外化、固定，并建立一个持续暴露偏移、验证边界和保存证据的控制回路。</w:t>
      </w:r>
    </w:p>
    <w:p>
      <w:pPr>
        <w:pStyle w:val="Heading1"/>
      </w:pPr>
      <w:r>
        <w:t>2. 最低配实践</w:t>
      </w:r>
    </w:p>
    <w:p>
      <w:r>
        <w:t>第一次使用这套框架时，不需要一次搭完所有机制。</w:t>
      </w:r>
    </w:p>
    <w:p>
      <w:r>
        <w:t>最低限度可以先完成四件事：</w:t>
      </w:r>
    </w:p>
    <w:p>
      <w:pPr>
        <w:pStyle w:val="ListNumber"/>
      </w:pPr>
      <w:r>
        <w:t>写一张协作启动卡，明确产品是什么、不是什么。</w:t>
      </w:r>
    </w:p>
    <w:p>
      <w:pPr>
        <w:pStyle w:val="ListNumber"/>
      </w:pPr>
      <w:r>
        <w:t>在较大改动前完成一次理解检查点。</w:t>
      </w:r>
    </w:p>
    <w:p>
      <w:pPr>
        <w:pStyle w:val="ListNumber"/>
      </w:pPr>
      <w:r>
        <w:t>围绕至少一条关键产品承诺，设计一项语义边界 mutation 或等价退化测试。</w:t>
      </w:r>
    </w:p>
    <w:p>
      <w:pPr>
        <w:pStyle w:val="ListNumber"/>
      </w:pPr>
      <w:r>
        <w:t>用发布证据模板记录实际验证结果，以及它证明什么、不证明什么。</w:t>
      </w:r>
    </w:p>
    <w:p>
      <w:r>
        <w:t>随着项目持续时间、风险和复杂度提高，再逐步加入职责分层、语义 diff 审查、失败报告和更完整的 release evidence。</w:t>
      </w:r>
    </w:p>
    <w:p>
      <w:r>
        <w:t>“最小”不意味着省略关键判断，而是允许控制回路从最重要的边界开始生长。</w:t>
      </w:r>
    </w:p>
    <w:p>
      <w:pPr>
        <w:pStyle w:val="Heading1"/>
      </w:pPr>
      <w:r>
        <w:t>3. 先保留产品定义权与解释权</w:t>
      </w:r>
    </w:p>
    <w:p>
      <w:r>
        <w:t>开始实现前，先写一张“协作启动卡”：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rPr>
          <w:tblHeader w:val="true"/>
        </w:trP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字段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填写内容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产品是什么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产品不是什么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目标用户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当前版本明确不做什么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谁负责生成核心事实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哪些承诺不能被实现层改写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本轮允许 Agent 自由决定什么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</w:tbl>
    <w:p>
      <w:pPr>
        <w:spacing w:after="40"/>
      </w:pPr>
    </w:p>
    <w:p>
      <w:pPr>
        <w:pStyle w:val="Heading2"/>
      </w:pPr>
      <w:r>
        <w:t>其中最重要的一项是：</w:t>
      </w:r>
    </w:p>
    <w:p>
      <w:pPr>
        <w:pStyle w:val="LeadQuote"/>
        <w:shd w:fill="F4F6F9"/>
      </w:pPr>
      <w:r>
        <w:t>决定“产品是什么、不是什么”的权力，由人保留。</w:t>
      </w:r>
    </w:p>
    <w:p>
      <w:r>
        <w:t>例如，代码风险审查工具可以报告“当前规则范围内可识别的可能风险”，但不能因为 Agent 增加了更多文案、评分、自动修复或视觉包装，就被悄悄定义成“代码安全认证工具”。</w:t>
      </w:r>
    </w:p>
    <w:p>
      <w:r>
        <w:t>Agent 可以帮助补充方案、指出冲突和提出不同解释，但不能默认获得最终的产品定义权与解释权。</w:t>
      </w:r>
    </w:p>
    <w:p>
      <w:pPr>
        <w:pStyle w:val="Heading1"/>
      </w:pPr>
      <w:r>
        <w:t>4. 按稳定性与落点整理约束</w:t>
      </w:r>
    </w:p>
    <w:p>
      <w:r>
        <w:t>不要把所有规则都写成永久宪法，也不要把临时实现选择误认为产品原则。</w:t>
      </w:r>
    </w:p>
    <w:p>
      <w:r>
        <w:t>整理一条约束时，应分别回答两个问题：</w:t>
      </w:r>
    </w:p>
    <w:p>
      <w:pPr>
        <w:pStyle w:val="ListNumber"/>
      </w:pPr>
      <w:r>
        <w:t>这条约束预计持续多久？</w:t>
      </w:r>
    </w:p>
    <w:p>
      <w:pPr>
        <w:pStyle w:val="ListNumber"/>
      </w:pPr>
      <w:r>
        <w:t>它应该由哪些工程载体保存和验证？</w:t>
      </w:r>
    </w:p>
    <w:p>
      <w:pPr>
        <w:pStyle w:val="Heading2"/>
      </w:pPr>
      <w:r>
        <w:t>4.1 按稳定性区分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3960"/>
        <w:gridCol w:w="3600"/>
      </w:tblGrid>
      <w:tr>
        <w:trPr>
          <w:tblHeader w:val="true"/>
        </w:trP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类型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含义</w:t>
            </w:r>
          </w:p>
        </w:tc>
        <w:tc>
          <w:tcPr>
            <w:tcW w:type="dxa" w:w="3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示例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长期原则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决定产品可信度、责任和基本边界，不应被局部实现随意突破</w:t>
            </w:r>
          </w:p>
        </w:tc>
        <w:tc>
          <w:tcPr>
            <w:tcW w:type="dxa" w:w="3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不运行用户代码、不保存源码、不承诺代码安全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阶段护栏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限制当前版本的实现范围，可由未来版本通过明确决策调整</w:t>
            </w:r>
          </w:p>
        </w:tc>
        <w:tc>
          <w:tcPr>
            <w:tcW w:type="dxa" w:w="3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v0.1 只支持 Python、暂不进行数据流分析</w:t>
            </w:r>
          </w:p>
        </w:tc>
      </w:tr>
    </w:tbl>
    <w:p>
      <w:pPr>
        <w:spacing w:after="40"/>
      </w:pPr>
    </w:p>
    <w:p>
      <w:r>
        <w:t>长期原则并不等于永远不能变化，但其变化应被视为产品级决策，而不是局部实现或 Agent 自主补全。</w:t>
      </w:r>
    </w:p>
    <w:p>
      <w:r>
        <w:t>阶段护栏也不是低价值约束。只要它仍属于当前版本，就需要被实现、测试和文档共同维护。</w:t>
      </w:r>
    </w:p>
    <w:p>
      <w:pPr>
        <w:pStyle w:val="Heading2"/>
      </w:pPr>
      <w:r>
        <w:t>4.2 按约束落点区分</w:t>
      </w:r>
    </w:p>
    <w:p>
      <w:r>
        <w:t>产品说明：</w:t>
      </w:r>
    </w:p>
    <w:p>
      <w:r>
        <w:t>说明产品是什么、不是什么，以及它向用户作出哪些承诺。</w:t>
      </w:r>
    </w:p>
    <w:p>
      <w:r>
        <w:t>接口契约：</w:t>
      </w:r>
    </w:p>
    <w:p>
      <w:r>
        <w:t>固定当前版本可观察的输入、输出、字段和状态语义。</w:t>
      </w:r>
    </w:p>
    <w:p>
      <w:r>
        <w:t>工程护栏：</w:t>
      </w:r>
    </w:p>
    <w:p>
      <w:r>
        <w:t>限制各层职责、事实来源和当前实现范围。</w:t>
      </w:r>
    </w:p>
    <w:p>
      <w:r>
        <w:t>测试与语义边界变异测试：</w:t>
      </w:r>
    </w:p>
    <w:p>
      <w:r>
        <w:t>验证已识别的关键约束没有发生退化。</w:t>
      </w:r>
    </w:p>
    <w:p>
      <w:r>
        <w:t>Git 与 release evidence：</w:t>
      </w:r>
    </w:p>
    <w:p>
      <w:r>
        <w:t>保存决策、实现和实际验证结果的可追溯证据。</w:t>
      </w:r>
    </w:p>
    <w:p>
      <w:r>
        <w:t>同一条约束可以同时落在多个载体中。</w:t>
      </w:r>
    </w:p>
    <w:p>
      <w:r>
        <w:t>例如，“不保存用户源码”既可能是长期原则，也应反映在产品说明、日志策略、存储行为、测试和发布检查中。</w:t>
      </w:r>
    </w:p>
    <w:p>
      <w:pPr>
        <w:pStyle w:val="Heading1"/>
      </w:pPr>
      <w:r>
        <w:t>5. 在关键节点建立理解检查点</w:t>
      </w:r>
    </w:p>
    <w:p>
      <w:r>
        <w:t>每次开始较大改动前，要求 Agent 明确回答：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rPr>
          <w:tblHeader w:val="true"/>
        </w:trP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字段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填写内容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当前理解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已确认事实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待确认假设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本次修改范围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不应改变的语义边界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验证方式与失败条件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</w:tbl>
    <w:p>
      <w:pPr>
        <w:spacing w:after="40"/>
      </w:pPr>
    </w:p>
    <w:p>
      <w:r>
        <w:t>理解检查点不是让 Agent 决定产品语义，而是让它暴露当前理解、假设和修改范围。</w:t>
      </w:r>
    </w:p>
    <w:p>
      <w:r>
        <w:t>如果它把“阶段性限制”说成永久原则，或者把“前端渲染”理解成“前端判断”，偏移就可能在写代码前被发现。</w:t>
      </w:r>
    </w:p>
    <w:p>
      <w:r>
        <w:t>普通对话也可以承担理解检查点的作用，前提是使用者会观察其中的歧义，并在进入实现前完成校准。</w:t>
      </w:r>
    </w:p>
    <w:p>
      <w:r>
        <w:t>理解检查点不需要出现在每一个微小修改之前。它更适合以下情况：</w:t>
      </w:r>
    </w:p>
    <w:p>
      <w:pPr>
        <w:pStyle w:val="ListBullet"/>
      </w:pPr>
      <w:r>
        <w:t>新增模块或跨层修改。</w:t>
      </w:r>
    </w:p>
    <w:p>
      <w:pPr>
        <w:pStyle w:val="ListBullet"/>
      </w:pPr>
      <w:r>
        <w:t>改变接口、状态或数据结构。</w:t>
      </w:r>
    </w:p>
    <w:p>
      <w:pPr>
        <w:pStyle w:val="ListBullet"/>
      </w:pPr>
      <w:r>
        <w:t>触及隐私、权限、错误处理或对外承诺。</w:t>
      </w:r>
    </w:p>
    <w:p>
      <w:pPr>
        <w:pStyle w:val="ListBullet"/>
      </w:pPr>
      <w:r>
        <w:t>Agent 主动扩大了任务范围。</w:t>
      </w:r>
    </w:p>
    <w:p>
      <w:pPr>
        <w:pStyle w:val="ListBullet"/>
      </w:pPr>
      <w:r>
        <w:t>当前实现依赖尚未确认的产品假设。</w:t>
      </w:r>
    </w:p>
    <w:p>
      <w:pPr>
        <w:pStyle w:val="ListBullet"/>
      </w:pPr>
      <w:r>
        <w:t>改动看似局部，但可能改变用户如何理解产品。</w:t>
      </w:r>
    </w:p>
    <w:p>
      <w:pPr>
        <w:pStyle w:val="Heading1"/>
      </w:pPr>
      <w:r>
        <w:t>6. 何时收权，何时放权</w:t>
      </w:r>
    </w:p>
    <w:p>
      <w:r>
        <w:t>一个实用判断是：</w:t>
      </w:r>
    </w:p>
    <w:p>
      <w:pPr>
        <w:pStyle w:val="LeadQuote"/>
        <w:shd w:fill="F4F6F9"/>
      </w:pPr>
      <w:r>
        <w:t>会改变产品被如何理解的，由人决定；只改变既有边界内实现路径的，可以交给 Agent。</w:t>
      </w:r>
    </w:p>
    <w:p>
      <w:pPr>
        <w:pStyle w:val="Heading2"/>
      </w:pPr>
      <w:r>
        <w:t>应由人保留决定权的内容包括：</w:t>
      </w:r>
    </w:p>
    <w:p>
      <w:pPr>
        <w:pStyle w:val="ListBullet"/>
      </w:pPr>
      <w:r>
        <w:t>产品定位、目标用户和核心承诺。</w:t>
      </w:r>
    </w:p>
    <w:p>
      <w:pPr>
        <w:pStyle w:val="ListBullet"/>
      </w:pPr>
      <w:r>
        <w:t>隐私边界、权限边界和交付责任。</w:t>
      </w:r>
    </w:p>
    <w:p>
      <w:pPr>
        <w:pStyle w:val="ListBullet"/>
      </w:pPr>
      <w:r>
        <w:t>错误状态的含义及不得误导的表达边界。</w:t>
      </w:r>
    </w:p>
    <w:p>
      <w:pPr>
        <w:pStyle w:val="ListBullet"/>
      </w:pPr>
      <w:r>
        <w:t>风险事实、业务事实和状态事实由谁生成。</w:t>
      </w:r>
    </w:p>
    <w:p>
      <w:pPr>
        <w:pStyle w:val="ListBullet"/>
      </w:pPr>
      <w:r>
        <w:t>前后端职责与单一事实源。</w:t>
      </w:r>
    </w:p>
    <w:p>
      <w:pPr>
        <w:pStyle w:val="ListBullet"/>
      </w:pPr>
      <w:r>
        <w:t>是否扩大当前版本范围。</w:t>
      </w:r>
    </w:p>
    <w:p>
      <w:pPr>
        <w:pStyle w:val="ListBullet"/>
      </w:pPr>
      <w:r>
        <w:t>是否接受某项已知风险或不确定性。</w:t>
      </w:r>
    </w:p>
    <w:p>
      <w:pPr>
        <w:pStyle w:val="Heading2"/>
      </w:pPr>
      <w:r>
        <w:t>可以交给 Agent 自由决定的内容包括：</w:t>
      </w:r>
    </w:p>
    <w:p>
      <w:pPr>
        <w:pStyle w:val="ListBullet"/>
      </w:pPr>
      <w:r>
        <w:t>函数拆分、局部重构和命名建议。</w:t>
      </w:r>
    </w:p>
    <w:p>
      <w:pPr>
        <w:pStyle w:val="ListBullet"/>
      </w:pPr>
      <w:r>
        <w:t>AST 遍历方式或同类实现路径。</w:t>
      </w:r>
    </w:p>
    <w:p>
      <w:pPr>
        <w:pStyle w:val="ListBullet"/>
      </w:pPr>
      <w:r>
        <w:t>测试组织、辅助函数和序列化细节。</w:t>
      </w:r>
    </w:p>
    <w:p>
      <w:pPr>
        <w:pStyle w:val="ListBullet"/>
      </w:pPr>
      <w:r>
        <w:t>样式、布局和纯展示逻辑。</w:t>
      </w:r>
    </w:p>
    <w:p>
      <w:pPr>
        <w:pStyle w:val="ListBullet"/>
      </w:pPr>
      <w:r>
        <w:t>在既有契约内选择更清晰或更稳妥的实现方案。</w:t>
      </w:r>
    </w:p>
    <w:p>
      <w:r>
        <w:t>目标不是让 Agent 沿唯一轨迹执行，而是限制不可接受的状态空间。</w:t>
      </w:r>
    </w:p>
    <w:p>
      <w:pPr>
        <w:pStyle w:val="LeadQuote"/>
        <w:shd w:fill="F4F6F9"/>
      </w:pPr>
      <w:r>
        <w:t>语义自由度要小，实现自由度可以大。</w:t>
      </w:r>
    </w:p>
    <w:p>
      <w:pPr>
        <w:pStyle w:val="Heading1"/>
      </w:pPr>
      <w:r>
        <w:t>7. 固定单一事实源</w:t>
      </w:r>
    </w:p>
    <w:p>
      <w:r>
        <w:t>每一类核心事实，都应有一个权威的定义和生成来源。</w:t>
      </w:r>
    </w:p>
    <w:p>
      <w:r>
        <w:t>其他层级可以传递、裁剪、排序、聚合或展示这些事实，但不能重新定义它们。</w:t>
      </w:r>
    </w:p>
    <w:p>
      <w:r>
        <w:t>例如：</w:t>
      </w:r>
    </w:p>
    <w:p>
      <w:r>
        <w:t>风险命中、等级、置信度、行动优先级：后端规则层</w:t>
      </w:r>
    </w:p>
    <w:p>
      <w:r>
        <w:t>状态语义与响应结构：后端契约层</w:t>
      </w:r>
    </w:p>
    <w:p>
      <w:r>
        <w:t>HTTP 状态码映射：HTTP 层</w:t>
      </w:r>
    </w:p>
    <w:p>
      <w:r>
        <w:t>展示、排序和交互：前端</w:t>
      </w:r>
    </w:p>
    <w:p>
      <w:r>
        <w:t>前端可以渲染后端返回的风险，也可以进行不改变事实含义的纯展示运算；但不能自行补写风险原因、改变风险等级，或在后端没有提供相关事实时生成“看起来合理”的安全结论。</w:t>
      </w:r>
    </w:p>
    <w:p>
      <w:r>
        <w:t>序列化层可以根据 "report_depth" 裁剪披露字段，但不能因此改变风险是否命中、风险数量、等级或状态语义。</w:t>
      </w:r>
    </w:p>
    <w:p>
      <w:r>
        <w:t>单一事实源不是为了形式整齐，也不是要求只有一个文件能够接触数据。</w:t>
      </w:r>
    </w:p>
    <w:p>
      <w:r>
        <w:t>它要避免的是：同一份产品事实在不同层级拥有多个相互竞争的权威定义。</w:t>
      </w:r>
    </w:p>
    <w:p>
      <w:pPr>
        <w:pStyle w:val="Heading1"/>
      </w:pPr>
      <w:r>
        <w:t>8. 审查语义 diff</w:t>
      </w:r>
    </w:p>
    <w:p>
      <w:r>
        <w:t>测试只能拦住已经被写成断言的退化。语义 diff 审查用于发现尚未被编码进测试的边界变化。</w:t>
      </w:r>
    </w:p>
    <w:p>
      <w:r>
        <w:t>在较大改动完成后，可以人工检查：</w:t>
      </w:r>
    </w:p>
    <w:p>
      <w:r>
        <w:t>本次 diff 是否改变了产品的对外含义？</w:t>
      </w:r>
    </w:p>
    <w:p>
      <w:r>
        <w:t>是否引入了新的产品承诺、限制或默认行为？</w:t>
      </w:r>
    </w:p>
    <w:p>
      <w:r>
        <w:t>某类核心事实是否被移动到了新的层级？</w:t>
      </w:r>
    </w:p>
    <w:p>
      <w:r>
        <w:t>是否产生了第二个事实源？</w:t>
      </w:r>
    </w:p>
    <w:p>
      <w:r>
        <w:t>是否把阶段护栏写成了长期原则，或反过来？</w:t>
      </w:r>
    </w:p>
    <w:p>
      <w:r>
        <w:t>是否引入了契约和测试尚未描述的新行为？</w:t>
      </w:r>
    </w:p>
    <w:p>
      <w:r>
        <w:t>Agent 是否修改了原本未被授权修改的范围？</w:t>
      </w:r>
    </w:p>
    <w:p>
      <w:r>
        <w:t>当前实现是否仍位于已授权的实现自由区内？</w:t>
      </w:r>
    </w:p>
    <w:p>
      <w:r>
        <w:t>语义 diff 审查不要求逐行重新设计代码。它关注的是代码变化是否改变了：</w:t>
      </w:r>
    </w:p>
    <w:p>
      <w:pPr>
        <w:pStyle w:val="ListBullet"/>
      </w:pPr>
      <w:r>
        <w:t>产品是什么。</w:t>
      </w:r>
    </w:p>
    <w:p>
      <w:pPr>
        <w:pStyle w:val="ListBullet"/>
      </w:pPr>
      <w:r>
        <w:t>用户会观察到什么。</w:t>
      </w:r>
    </w:p>
    <w:p>
      <w:pPr>
        <w:pStyle w:val="ListBullet"/>
      </w:pPr>
      <w:r>
        <w:t>哪一层拥有事实解释权。</w:t>
      </w:r>
    </w:p>
    <w:p>
      <w:pPr>
        <w:pStyle w:val="ListBullet"/>
      </w:pPr>
      <w:r>
        <w:t>失败和异常意味着什么。</w:t>
      </w:r>
    </w:p>
    <w:p>
      <w:pPr>
        <w:pStyle w:val="ListBullet"/>
      </w:pPr>
      <w:r>
        <w:t>当前版本承诺做到什么、不做到什么。</w:t>
      </w:r>
    </w:p>
    <w:p>
      <w:r>
        <w:t>当语义 diff 审查发现新边界时，应决定是否补充产品说明、接口契约、测试或 mutation，而不是只在本轮人工记住它。</w:t>
      </w:r>
    </w:p>
    <w:p>
      <w:pPr>
        <w:pStyle w:val="Heading1"/>
      </w:pPr>
      <w:r>
        <w:t>9. 从产品承诺反推语义边界变异测试</w:t>
      </w:r>
    </w:p>
    <w:p>
      <w:r>
        <w:t>普通 mutation 测试常问：</w:t>
      </w:r>
    </w:p>
    <w:p>
      <w:pPr>
        <w:pStyle w:val="LeadQuote"/>
        <w:shd w:fill="F4F6F9"/>
      </w:pPr>
      <w:r>
        <w:t>实现被改坏后，测试会不会失败？</w:t>
      </w:r>
    </w:p>
    <w:p>
      <w:r>
        <w:t>语义边界变异测试还要问：</w:t>
      </w:r>
    </w:p>
    <w:p>
      <w:pPr>
        <w:pStyle w:val="LeadQuote"/>
        <w:shd w:fill="F4F6F9"/>
      </w:pPr>
      <w:r>
        <w:t>产品承诺被悄悄改写后，测试会不会失败？</w:t>
      </w:r>
    </w:p>
    <w:p>
      <w:r>
        <w:t>设计步骤：</w:t>
      </w:r>
    </w:p>
    <w:p>
      <w:pPr>
        <w:pStyle w:val="ListNumber"/>
      </w:pPr>
      <w:r>
        <w:t>写出一条具体的产品承诺。</w:t>
      </w:r>
    </w:p>
    <w:p>
      <w:pPr>
        <w:pStyle w:val="ListNumber"/>
      </w:pPr>
      <w:r>
        <w:t>找到它在代码中的实现位置。</w:t>
      </w:r>
    </w:p>
    <w:p>
      <w:pPr>
        <w:pStyle w:val="ListNumber"/>
      </w:pPr>
      <w:r>
        <w:t>设计一个最小的“背叛性修改”。</w:t>
      </w:r>
    </w:p>
    <w:p>
      <w:pPr>
        <w:pStyle w:val="ListNumber"/>
      </w:pPr>
      <w:r>
        <w:t>让测试证明该修改会失败。</w:t>
      </w:r>
    </w:p>
    <w:p>
      <w:pPr>
        <w:pStyle w:val="ListNumber"/>
      </w:pPr>
      <w:r>
        <w:t>记录这份证据证明什么，以及不证明什么。</w:t>
      </w:r>
    </w:p>
    <w:p>
      <w:pPr>
        <w:pStyle w:val="Heading2"/>
      </w:pPr>
      <w:r>
        <w:t>示例：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3300"/>
        <w:gridCol w:w="3300"/>
        <w:gridCol w:w="2760"/>
      </w:tblGrid>
      <w:tr>
        <w:trPr>
          <w:tblHeader w:val="true"/>
        </w:trPr>
        <w:tc>
          <w:tcPr>
            <w:tcW w:type="dxa" w:w="3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产品承诺</w:t>
            </w:r>
          </w:p>
        </w:tc>
        <w:tc>
          <w:tcPr>
            <w:tcW w:type="dxa" w:w="3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变异</w:t>
            </w:r>
          </w:p>
        </w:tc>
        <w:tc>
          <w:tcPr>
            <w:tcW w:type="dxa" w:w="2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应有结果</w:t>
            </w:r>
          </w:p>
        </w:tc>
      </w:tr>
      <w:tr>
        <w:tc>
          <w:tcPr>
            <w:tcW w:type="dxa" w:w="3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语法错误应返回部分报告</w:t>
            </w:r>
          </w:p>
        </w:tc>
        <w:tc>
          <w:tcPr>
            <w:tcW w:type="dxa" w:w="3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将 "partial" 改为 "user_error"</w:t>
            </w:r>
          </w:p>
        </w:tc>
        <w:tc>
          <w:tcPr>
            <w:tcW w:type="dxa" w:w="2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状态语义测试失败</w:t>
            </w:r>
          </w:p>
        </w:tc>
      </w:tr>
      <w:tr>
        <w:tc>
          <w:tcPr>
            <w:tcW w:type="dxa" w:w="3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"source_size" 表示 UTF-8 字节数</w:t>
            </w:r>
          </w:p>
        </w:tc>
        <w:tc>
          <w:tcPr>
            <w:tcW w:type="dxa" w:w="3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改回 Python 字符数</w:t>
            </w:r>
          </w:p>
        </w:tc>
        <w:tc>
          <w:tcPr>
            <w:tcW w:type="dxa" w:w="2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中英文边界测试失败</w:t>
            </w:r>
          </w:p>
        </w:tc>
      </w:tr>
      <w:tr>
        <w:tc>
          <w:tcPr>
            <w:tcW w:type="dxa" w:w="3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带有可解析 "Content-Length" 的超大请求应在读取前被拒绝</w:t>
            </w:r>
          </w:p>
        </w:tc>
        <w:tc>
          <w:tcPr>
            <w:tcW w:type="dxa" w:w="3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移除读取前的长度拦截</w:t>
            </w:r>
          </w:p>
        </w:tc>
        <w:tc>
          <w:tcPr>
            <w:tcW w:type="dxa" w:w="2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HTTP 边界测试失败</w:t>
            </w:r>
          </w:p>
        </w:tc>
      </w:tr>
      <w:tr>
        <w:tc>
          <w:tcPr>
            <w:tcW w:type="dxa" w:w="3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summary 只披露约定字段</w:t>
            </w:r>
          </w:p>
        </w:tc>
        <w:tc>
          <w:tcPr>
            <w:tcW w:type="dxa" w:w="3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让 summary 返回 detail 专属字段</w:t>
            </w:r>
          </w:p>
        </w:tc>
        <w:tc>
          <w:tcPr>
            <w:tcW w:type="dxa" w:w="2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响应契约测试失败</w:t>
            </w:r>
          </w:p>
        </w:tc>
      </w:tr>
      <w:tr>
        <w:tc>
          <w:tcPr>
            <w:tcW w:type="dxa" w:w="3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"report_depth" 不改变分析事实</w:t>
            </w:r>
          </w:p>
        </w:tc>
        <w:tc>
          <w:tcPr>
            <w:tcW w:type="dxa" w:w="3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让它参与规则选择或过滤风险</w:t>
            </w:r>
          </w:p>
        </w:tc>
        <w:tc>
          <w:tcPr>
            <w:tcW w:type="dxa" w:w="2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分析不变量测试失败</w:t>
            </w:r>
          </w:p>
        </w:tc>
      </w:tr>
    </w:tbl>
    <w:p>
      <w:pPr>
        <w:spacing w:after="40"/>
      </w:pPr>
    </w:p>
    <w:p>
      <w:r>
        <w:t>“全部 mutation 被杀死”不代表测试没有遗漏。</w:t>
      </w:r>
    </w:p>
    <w:p>
      <w:pPr>
        <w:pStyle w:val="Heading2"/>
      </w:pPr>
      <w:r>
        <w:t>它只代表：</w:t>
      </w:r>
    </w:p>
    <w:p>
      <w:pPr>
        <w:pStyle w:val="LeadQuote"/>
        <w:shd w:fill="F4F6F9"/>
      </w:pPr>
      <w:r>
        <w:t>当前明确设计出的这些退化行为，没有在现有测试中漏网。</w:t>
      </w:r>
    </w:p>
    <w:p>
      <w:r>
        <w:t>语义边界变异测试也不应只追求数量。一个 mutation 的价值取决于它是否对应真实产品承诺，以及失败时能否清楚说明哪条语义被破坏。</w:t>
      </w:r>
    </w:p>
    <w:p>
      <w:pPr>
        <w:pStyle w:val="Heading1"/>
      </w:pPr>
      <w:r>
        <w:t>10. 用 Git 保存决策证据</w:t>
      </w:r>
    </w:p>
    <w:p>
      <w:r>
        <w:t>一次提交应尽量对应一个可以说明的小闭环：</w:t>
      </w:r>
    </w:p>
    <w:p>
      <w:pPr>
        <w:pStyle w:val="LeadQuote"/>
        <w:shd w:fill="F4F6F9"/>
      </w:pPr>
      <w:r>
        <w:t>触发问题 -&gt; 决策 -&gt; 实现 -&gt; 测试 -&gt; 语义边界变异测试 -&gt; 文档 -&gt; 提交</w:t>
      </w:r>
    </w:p>
    <w:p>
      <w:pPr>
        <w:pStyle w:val="Heading2"/>
      </w:pPr>
      <w:r>
        <w:t>提交前检查：</w:t>
      </w:r>
    </w:p>
    <w:p>
      <w:r>
        <w:t>本次改动是否主要服务于一个明确问题？</w:t>
      </w:r>
    </w:p>
    <w:p>
      <w:r>
        <w:t>契约、实现、测试和文档是否同步？</w:t>
      </w:r>
    </w:p>
    <w:p>
      <w:r>
        <w:t>是否引入了无关文件、临时产物或敏感信息？</w:t>
      </w:r>
    </w:p>
    <w:p>
      <w:r>
        <w:t>验证是否真实运行，而不是只由 Agent 声称通过？</w:t>
      </w:r>
    </w:p>
    <w:p>
      <w:r>
        <w:t>提交信息能否说明本次决策？</w:t>
      </w:r>
    </w:p>
    <w:p>
      <w:r>
        <w:t>Git 历史不需要为了形式追求绝对整齐。</w:t>
      </w:r>
    </w:p>
    <w:p>
      <w:r>
        <w:t>在提交尚未被文档、博客、release evidence 或外部讨论引用时，可以根据协作需要整理历史，但应保留关键决策和验证证据。</w:t>
      </w:r>
    </w:p>
    <w:p>
      <w:r>
        <w:t>一旦某个 commit hash 已被作为证据引用，就不应再仅仅为了历史美观而重写它。</w:t>
      </w:r>
    </w:p>
    <w:p>
      <w:pPr>
        <w:pStyle w:val="LeadQuote"/>
        <w:shd w:fill="F4F6F9"/>
      </w:pPr>
      <w:r>
        <w:t>可复查的历史，比脱离证据目的的漂亮历史更有价值。</w:t>
      </w:r>
    </w:p>
    <w:p>
      <w:pPr>
        <w:pStyle w:val="Heading1"/>
      </w:pPr>
      <w:r>
        <w:t>11. 发布前证据模板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rPr>
          <w:tblHeader w:val="true"/>
        </w:trP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字段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填写内容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对应版本或 commit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验证环境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执行命令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准备确认的结论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验证方式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预期结果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实际结果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这份证据证明什么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它不证明什么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</w:tbl>
    <w:p>
      <w:pPr>
        <w:spacing w:after="40"/>
      </w:pPr>
    </w:p>
    <w:p>
      <w:r>
        <w:t>验证环境最低可以包括：</w:t>
      </w:r>
    </w:p>
    <w:p>
      <w:r>
        <w:t>操作系统：</w:t>
      </w:r>
    </w:p>
    <w:p>
      <w:r>
        <w:t>运行时版本：</w:t>
      </w:r>
    </w:p>
    <w:p>
      <w:r>
        <w:t>关键依赖版本或锁文件：</w:t>
      </w:r>
    </w:p>
    <w:p>
      <w:r>
        <w:t>例如：</w:t>
      </w:r>
    </w:p>
    <w:p>
      <w:pPr>
        <w:pStyle w:val="LeadQuote"/>
        <w:shd w:fill="F4F6F9"/>
      </w:pPr>
      <w:r>
        <w:t>在指定 commit 和验证环境中，从干净检出运行测试，44 个测试通过，12 个已设计 mutation 被杀死。</w:t>
      </w:r>
    </w:p>
    <w:p>
      <w:r>
        <w:t>这份证据可以证明：</w:t>
      </w:r>
    </w:p>
    <w:p>
      <w:pPr>
        <w:pStyle w:val="ListBullet"/>
      </w:pPr>
      <w:r>
        <w:t>当前仓库在该环境中能够复现这些验证结果。</w:t>
      </w:r>
    </w:p>
    <w:p>
      <w:pPr>
        <w:pStyle w:val="ListBullet"/>
      </w:pPr>
      <w:r>
        <w:t>当前测试能够捕获这 12 个已明确设计的退化行为。</w:t>
      </w:r>
    </w:p>
    <w:p>
      <w:pPr>
        <w:pStyle w:val="ListBullet"/>
      </w:pPr>
      <w:r>
        <w:t>被这些测试覆盖的部分契约在该版本中没有发生相应退化。</w:t>
      </w:r>
    </w:p>
    <w:p>
      <w:pPr>
        <w:pStyle w:val="Heading2"/>
      </w:pPr>
      <w:r>
        <w:t>它不能证明：</w:t>
      </w:r>
    </w:p>
    <w:p>
      <w:pPr>
        <w:pStyle w:val="ListBullet"/>
      </w:pPr>
      <w:r>
        <w:t>产品不存在其他缺陷。</w:t>
      </w:r>
    </w:p>
    <w:p>
      <w:pPr>
        <w:pStyle w:val="ListBullet"/>
      </w:pPr>
      <w:r>
        <w:t>测试覆盖了所有语义漂移。</w:t>
      </w:r>
    </w:p>
    <w:p>
      <w:pPr>
        <w:pStyle w:val="ListBullet"/>
      </w:pPr>
      <w:r>
        <w:t>项目适用于所有运行或部署环境。</w:t>
      </w:r>
    </w:p>
    <w:p>
      <w:pPr>
        <w:pStyle w:val="ListBullet"/>
      </w:pPr>
      <w:r>
        <w:t>相同方法在其他项目中具有相同效果。</w:t>
      </w:r>
    </w:p>
    <w:p>
      <w:pPr>
        <w:pStyle w:val="ListBullet"/>
      </w:pPr>
      <w:r>
        <w:t>当前产品已经达到安全认证或生产级保证。</w:t>
      </w:r>
    </w:p>
    <w:p>
      <w:r>
        <w:t>发布证据的作用不是制造“已完成一切”的印象，而是让读者知道：哪些结论有证据，证据适用于什么范围。</w:t>
      </w:r>
    </w:p>
    <w:p>
      <w:pPr>
        <w:pStyle w:val="Heading1"/>
      </w:pPr>
      <w:r>
        <w:t>12. 失败报告模板</w:t>
      </w:r>
    </w:p>
    <w:p>
      <w:r>
        <w:t>当发现语义漂移、契约冲突或测试漏网时，记录：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rPr>
          <w:tblHeader w:val="true"/>
        </w:trP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字段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填写内容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发现时间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对应版本或 commit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变化是什么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它改变了哪条产品语义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它是如何被发现的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为什么现有文档、检查点或测试没有提前发现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本次修复范围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新增或调整的验证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是否需要调整契约或工程护栏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  <w:t>仍然存在的未知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</w:p>
        </w:tc>
      </w:tr>
    </w:tbl>
    <w:p>
      <w:pPr>
        <w:spacing w:after="40"/>
      </w:pPr>
    </w:p>
    <w:p>
      <w:r>
        <w:t>失败报告不是追究谁“写错了”，也不是为了证明 Agent 不可靠。</w:t>
      </w:r>
    </w:p>
    <w:p>
      <w:r>
        <w:t>它的作用是识别控制回路中缺少的观测点，并决定下一次应在哪里增加：</w:t>
      </w:r>
    </w:p>
    <w:p>
      <w:pPr>
        <w:pStyle w:val="ListBullet"/>
      </w:pPr>
      <w:r>
        <w:t>更明确的产品说明。</w:t>
      </w:r>
    </w:p>
    <w:p>
      <w:pPr>
        <w:pStyle w:val="ListBullet"/>
      </w:pPr>
      <w:r>
        <w:t>更早的理解检查点。</w:t>
      </w:r>
    </w:p>
    <w:p>
      <w:pPr>
        <w:pStyle w:val="ListBullet"/>
      </w:pPr>
      <w:r>
        <w:t>更清晰的职责边界。</w:t>
      </w:r>
    </w:p>
    <w:p>
      <w:pPr>
        <w:pStyle w:val="ListBullet"/>
      </w:pPr>
      <w:r>
        <w:t>新的测试或语义边界变异测试。</w:t>
      </w:r>
    </w:p>
    <w:p>
      <w:pPr>
        <w:pStyle w:val="ListBullet"/>
      </w:pPr>
      <w:r>
        <w:t>更具体的发布检查。</w:t>
      </w:r>
    </w:p>
    <w:p>
      <w:r>
        <w:t>成功案例说明控制回路在哪里生效，失败报告说明控制回路接下来应该在哪里生长。</w:t>
      </w:r>
    </w:p>
    <w:p>
      <w:pPr>
        <w:pStyle w:val="Heading1"/>
      </w:pPr>
      <w:r>
        <w:t>13. 最小控制回路</w:t>
      </w:r>
    </w:p>
    <w:p>
      <w:pPr>
        <w:pStyle w:val="LeadQuote"/>
        <w:shd w:fill="F4F6F9"/>
      </w:pPr>
      <w:r>
        <w:t>人定义产品 -&gt; 外化长期原则、阶段护栏与接口契约 -&gt; 理解检查点暴露 Agent 的当前理解 -&gt; Agent 在实现自由区内工作 -&gt; 人审查语义 diff -&gt; 测试与语义边界变异测试验证已知退化 -&gt; 文档、Git 与 release evidence 保存证据 -&gt; 失败报告补强观测点 -&gt; 回到下一轮理解检查点</w:t>
      </w:r>
    </w:p>
    <w:p>
      <w:r>
        <w:t>这套流程不保证项目正确，也不替代工程能力、业务判断、人工审查或真实环境测试。</w:t>
      </w:r>
    </w:p>
    <w:p>
      <w:pPr>
        <w:pStyle w:val="Heading2"/>
      </w:pPr>
      <w:r>
        <w:t>它试图做到的是：</w:t>
      </w:r>
    </w:p>
    <w:p>
      <w:pPr>
        <w:pStyle w:val="LeadQuote"/>
        <w:shd w:fill="F4F6F9"/>
      </w:pPr>
      <w:r>
        <w:t>当 Agent 拥有较高实现自由时，让关键产品判断不只存在于人的脑中；让偏移更早暴露，让退化能够被验证，让每一轮决策留下可复查的证据。</w:t>
      </w:r>
    </w:p>
    <w:p>
      <w:r>
        <w:t>最终目标不是让 Agent 永远不犯错，而是降低产品在“代码能跑、测试全绿、文档看似完整”的表象下，被悄悄写成另一个东西的概率。</w:t>
      </w:r>
    </w:p>
    <w:p>
      <w:r>
        <w:t>Agent 可以选择实现路径，但没有因此获得产品定义权与解释权。</w:t>
      </w:r>
    </w:p>
    <w:p>
      <w:pPr>
        <w:pStyle w:val="Heading1"/>
      </w:pPr>
      <w:r>
        <w:t>14. 项目案例证据索引</w:t>
      </w:r>
    </w:p>
    <w:p>
      <w:r>
        <w:t>以下链接用于复查 Code Risk Review v0.1 中与本框架对应的工程闭环。测试数量和变异数量只描述对应提交时的验证状态。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1500"/>
        <w:gridCol w:w="1500"/>
        <w:gridCol w:w="3660"/>
      </w:tblGrid>
      <w:tr>
        <w:trPr>
          <w:tblHeader w:val="true"/>
        </w:trP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闭环</w:t>
            </w:r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提交</w:t>
            </w:r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测试 / 变异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/>
                <w:sz w:val="19"/>
              </w:rPr>
              <w:t>边界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source_size 语义统一</w:t>
            </w:r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hyperlink r:id="rId12">
              <w:r>
                <w:rPr>
                  <w:rFonts w:ascii="Calibri" w:hAnsi="Calibri" w:eastAsia="Microsoft YaHei"/>
                  <w:color w:val="2E74B5"/>
                  <w:u w:val="single"/>
                </w:rPr>
                <w:t>14e746e</w:t>
              </w:r>
            </w:hyperlink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34 / 9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字段语义与 UTF-8 字节边界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HTTP 请求体读取前限制</w:t>
            </w:r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hyperlink r:id="rId13">
              <w:r>
                <w:rPr>
                  <w:rFonts w:ascii="Calibri" w:hAnsi="Calibri" w:eastAsia="Microsoft YaHei"/>
                  <w:color w:val="2E74B5"/>
                  <w:u w:val="single"/>
                </w:rPr>
                <w:t>4c5c256</w:t>
              </w:r>
            </w:hyperlink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36 / 10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入口边界与业务边界分离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filename 辅助元数据</w:t>
            </w:r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hyperlink r:id="rId14">
              <w:r>
                <w:rPr>
                  <w:rFonts w:ascii="Calibri" w:hAnsi="Calibri" w:eastAsia="Microsoft YaHei"/>
                  <w:color w:val="2E74B5"/>
                  <w:u w:val="single"/>
                </w:rPr>
                <w:t>1d85c2e</w:t>
              </w:r>
            </w:hyperlink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40 / 11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辅助元数据不可越权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report_depth</w:t>
            </w:r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hyperlink r:id="rId15">
              <w:r>
                <w:rPr>
                  <w:rFonts w:ascii="Calibri" w:hAnsi="Calibri" w:eastAsia="Microsoft YaHei"/>
                  <w:color w:val="2E74B5"/>
                  <w:u w:val="single"/>
                </w:rPr>
                <w:t>f030294</w:t>
              </w:r>
            </w:hyperlink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44 / 12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披露深度不改变分析事实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发布证据</w:t>
            </w:r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hyperlink r:id="rId16">
              <w:r>
                <w:rPr>
                  <w:rFonts w:ascii="Calibri" w:hAnsi="Calibri" w:eastAsia="Microsoft YaHei"/>
                  <w:color w:val="2E74B5"/>
                  <w:u w:val="single"/>
                </w:rPr>
                <w:t>4c4fe7e</w:t>
              </w:r>
            </w:hyperlink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44 / 12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rPr>
                <w:rFonts w:ascii="Calibri" w:hAnsi="Calibri" w:eastAsia="Microsoft YaHei"/>
                <w:b w:val="0"/>
                <w:sz w:val="19"/>
              </w:rPr>
            </w:r>
            <w:r>
              <w:rPr>
                <w:rFonts w:ascii="Calibri" w:hAnsi="Calibri" w:eastAsia="Microsoft YaHei"/>
                <w:b w:val="0"/>
                <w:sz w:val="19"/>
              </w:rPr>
              <w:t>干净克隆、仓库卫生与发布检查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t>v0.1 发布封口</w:t>
            </w:r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hyperlink r:id="rId19">
              <w:r>
                <w:rPr>
                  <w:color w:val="0563C1"/>
                  <w:u w:val="single"/>
                </w:rPr>
                <w:t>c5054ac</w:t>
              </w:r>
            </w:hyperlink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t>44 / 12（CI）</w:t>
            </w:r>
          </w:p>
        </w:tc>
        <w:tc>
          <w:tcPr>
            <w:tcW w:type="dxa" w:w="3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60" w:line="276" w:lineRule="auto"/>
            </w:pPr>
            <w:r>
              <w:t>标签、Release 与证据同步</w:t>
            </w:r>
          </w:p>
        </w:tc>
      </w:tr>
    </w:tbl>
    <w:p>
      <w:pPr>
        <w:spacing w:after="40"/>
      </w:pPr>
      <w:r>
        <w:t>最终发布引用：</w:t>
      </w:r>
      <w:hyperlink r:id="rId18">
        <w:r>
          <w:rPr>
            <w:color w:val="0563C1"/>
            <w:u w:val="single"/>
          </w:rPr>
          <w:t>v0.1（c5054ac）</w:t>
        </w:r>
      </w:hyperlink>
      <w:r>
        <w:t xml:space="preserve">；完整记录见 </w:t>
      </w:r>
      <w:hyperlink r:id="rId20">
        <w:r>
          <w:rPr>
            <w:color w:val="0563C1"/>
            <w:u w:val="single"/>
          </w:rPr>
          <w:t>Release Evidence</w:t>
        </w:r>
      </w:hyperlink>
      <w:r>
        <w:t>。</w:t>
      </w:r>
    </w:p>
    <w:p>
      <w:pPr>
        <w:pStyle w:val="Heading1"/>
      </w:pPr>
      <w:r>
        <w:t>15. 许可与使用边界</w:t>
      </w:r>
    </w:p>
    <w:p>
      <w:r>
        <w:t xml:space="preserve">本文档采用 </w:t>
      </w:r>
      <w:hyperlink r:id="rId17">
        <w:r>
          <w:rPr>
            <w:rFonts w:ascii="Calibri" w:hAnsi="Calibri" w:eastAsia="Microsoft YaHei"/>
            <w:color w:val="2E74B5"/>
            <w:u w:val="single"/>
            <w:b/>
          </w:rPr>
          <w:t>CC BY-NC-SA 4.0</w:t>
        </w:r>
      </w:hyperlink>
      <w:r>
        <w:t xml:space="preserve"> 协议发布。</w:t>
      </w:r>
    </w:p>
    <w:p>
      <w:r>
        <w:t>允许非商业学习、研究、复现、分享和改编；使用时应按协议提供适当署名、许可链接并注明修改，改编内容应以相同协议共享。商业使用需要另行取得授权。</w:t>
      </w:r>
    </w:p>
    <w:p>
      <w:r>
        <w:t>本框架不保证项目正确，也不构成安全、法律、合规或生产级认证。术语和模板用于帮助使用者暴露判断与保存证据，不能代替使用者作出产品和工程决策。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 w:eastAsia="Microsoft YaHei"/>
        <w:color w:val="5A626C"/>
        <w:sz w:val="17"/>
      </w:rPr>
      <w:t xml:space="preserve">Key of the Door  |  </w:t>
    </w:r>
    <w:r>
      <w:rPr>
        <w:rFonts w:ascii="Calibri" w:hAnsi="Calibri" w:eastAsia="Microsoft YaHei"/>
        <w:color w:val="5A626C"/>
        <w:sz w:val="17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 w:eastAsia="Microsoft YaHei"/>
        <w:color w:val="5A626C"/>
        <w:sz w:val="17"/>
      </w:rPr>
      <w:t>Agent 协作控制回路：最小实践框架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  <w:jc w:val="left"/>
    </w:pPr>
    <w:rPr>
      <w:rFonts w:ascii="Calibri" w:hAnsi="Calibri" w:eastAsia="Microsoft YaHei"/>
      <w:color w:val="14181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 w:eastAsia="Microsoft YaHe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  <w:jc w:val="center"/>
    </w:pPr>
    <w:rPr>
      <w:rFonts w:asciiTheme="majorHAnsi" w:eastAsiaTheme="majorEastAsia" w:hAnsiTheme="majorHAnsi" w:cstheme="majorBidi" w:ascii="Calibri" w:hAnsi="Calibri" w:eastAsia="Microsoft YaHei"/>
      <w:b/>
      <w:color w:val="203748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20"/>
      <w:jc w:val="center"/>
    </w:pPr>
    <w:rPr>
      <w:rFonts w:asciiTheme="majorHAnsi" w:eastAsiaTheme="majorEastAsia" w:hAnsiTheme="majorHAnsi" w:cstheme="majorBidi" w:ascii="Calibri" w:hAnsi="Calibri" w:eastAsia="Microsoft YaHei"/>
      <w:i/>
      <w:iCs/>
      <w:color w:val="5A626C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alibri" w:hAnsi="Calibri" w:eastAsia="Microsoft YaHei"/>
      <w:color w:val="14181C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 w:eastAsia="Microsoft YaHei"/>
      <w:color w:val="14181C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adQuote">
    <w:name w:val="Lead Quote"/>
    <w:pPr>
      <w:spacing w:before="120" w:after="200" w:line="300" w:lineRule="auto"/>
      <w:ind w:left="403" w:right="259"/>
    </w:pPr>
    <w:rPr>
      <w:rFonts w:ascii="Calibri" w:hAnsi="Calibri" w:eastAsia="Microsoft YaHei"/>
      <w:b/>
      <w:color w:val="1F4D78"/>
      <w:sz w:val="22"/>
    </w:rPr>
  </w:style>
  <w:style w:type="paragraph" w:customStyle="1" w:styleId="DocumentMetadata">
    <w:name w:val="Document Metadata"/>
    <w:pPr>
      <w:spacing w:after="60"/>
      <w:jc w:val="center"/>
    </w:pPr>
    <w:rPr>
      <w:rFonts w:ascii="Calibri" w:hAnsi="Calibri" w:eastAsia="Microsoft YaHei"/>
      <w:color w:val="5A626C"/>
      <w:sz w:val="19"/>
    </w:rPr>
  </w:style>
  <w:style w:type="paragraph" w:customStyle="1" w:styleId="CoverKicker">
    <w:name w:val="Cover Kicker"/>
    <w:pPr>
      <w:spacing w:before="400" w:after="240"/>
      <w:jc w:val="center"/>
    </w:pPr>
    <w:rPr>
      <w:rFonts w:ascii="Calibri" w:hAnsi="Calibri" w:eastAsia="Microsoft YaHei"/>
      <w:b/>
      <w:color w:val="2E74B5"/>
      <w:sz w:val="20"/>
    </w:rPr>
  </w:style>
  <w:style w:type="paragraph" w:customStyle="1" w:styleId="InlineEvidence">
    <w:name w:val="Inline Evidence"/>
    <w:pPr>
      <w:spacing w:after="120" w:line="276" w:lineRule="auto"/>
      <w:ind w:left="360"/>
    </w:pPr>
    <w:rPr>
      <w:rFonts w:ascii="Calibri" w:hAnsi="Calibri" w:eastAsia="Microsoft YaHei"/>
      <w:color w:val="1F4D78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github.com/Key-of-door/code-risk-review-v0.1" TargetMode="External"/><Relationship Id="rId12" Type="http://schemas.openxmlformats.org/officeDocument/2006/relationships/hyperlink" Target="https://github.com/Key-of-door/code-risk-review-v0.1/commit/14e746e89d4c63a0729627848ecce6ca6e969270" TargetMode="External"/><Relationship Id="rId13" Type="http://schemas.openxmlformats.org/officeDocument/2006/relationships/hyperlink" Target="https://github.com/Key-of-door/code-risk-review-v0.1/commit/4c5c256bb272c4bb0e8f4c40d4c28ef0ba7cc1ae" TargetMode="External"/><Relationship Id="rId14" Type="http://schemas.openxmlformats.org/officeDocument/2006/relationships/hyperlink" Target="https://github.com/Key-of-door/code-risk-review-v0.1/commit/1d85c2efd8971ea135fef56db44039ab05574c9e" TargetMode="External"/><Relationship Id="rId15" Type="http://schemas.openxmlformats.org/officeDocument/2006/relationships/hyperlink" Target="https://github.com/Key-of-door/code-risk-review-v0.1/commit/f0302946ee844d6fb845a4e0d1c5ee338df026d2" TargetMode="External"/><Relationship Id="rId16" Type="http://schemas.openxmlformats.org/officeDocument/2006/relationships/hyperlink" Target="https://github.com/Key-of-door/code-risk-review-v0.1/commit/4c4fe7edd401174df0d450a053082f523e1e9090" TargetMode="External"/><Relationship Id="rId17" Type="http://schemas.openxmlformats.org/officeDocument/2006/relationships/hyperlink" Target="https://creativecommons.org/licenses/by-nc-sa/4.0/" TargetMode="External"/><Relationship Id="rId18" Type="http://schemas.openxmlformats.org/officeDocument/2006/relationships/hyperlink" Target="https://github.com/Key-of-door/code-risk-review-v0.1/releases/tag/v0.1" TargetMode="External"/><Relationship Id="rId19" Type="http://schemas.openxmlformats.org/officeDocument/2006/relationships/hyperlink" Target="https://github.com/Key-of-door/code-risk-review-v0.1/commit/c5054ac9fd3d38b64987ec3b123495f28af4bfc2" TargetMode="External"/><Relationship Id="rId20" Type="http://schemas.openxmlformats.org/officeDocument/2006/relationships/hyperlink" Target="https://github.com/Key-of-door/code-risk-review-v0.1/blob/v0.1/docs/release-evidence-v0.1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协作控制回路：最小实践框架</dc:title>
  <dc:subject>Agent collaboration methodology</dc:subject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